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99"/>
        <w:tblW w:w="10415" w:type="dxa"/>
        <w:shd w:val="clear" w:color="auto" w:fill="BFBFBF" w:themeFill="background1" w:themeFillShade="BF"/>
        <w:tblLayout w:type="fixed"/>
        <w:tblCellMar>
          <w:left w:w="0" w:type="dxa"/>
          <w:right w:w="0" w:type="dxa"/>
        </w:tblCellMar>
        <w:tblLook w:val="0000" w:firstRow="0" w:lastRow="0" w:firstColumn="0" w:lastColumn="0" w:noHBand="0" w:noVBand="0"/>
      </w:tblPr>
      <w:tblGrid>
        <w:gridCol w:w="10415"/>
      </w:tblGrid>
      <w:tr w:rsidR="00332F24" w:rsidRPr="00EC7196" w14:paraId="6139E8EE" w14:textId="77777777" w:rsidTr="00EC3ECB">
        <w:trPr>
          <w:trHeight w:val="3251"/>
        </w:trPr>
        <w:tc>
          <w:tcPr>
            <w:tcW w:w="10415" w:type="dxa"/>
            <w:shd w:val="clear" w:color="auto" w:fill="auto"/>
          </w:tcPr>
          <w:p w14:paraId="05B83F6F" w14:textId="1DBB73A6" w:rsidR="00332F24" w:rsidRDefault="00332F24" w:rsidP="00EC3ECB">
            <w:pPr>
              <w:pStyle w:val="FJDocumentHeader"/>
              <w:framePr w:wrap="auto" w:vAnchor="margin" w:hAnchor="text" w:yAlign="inline"/>
            </w:pPr>
            <w:r>
              <w:t xml:space="preserve">Data Protection </w:t>
            </w:r>
          </w:p>
          <w:p w14:paraId="08663C40" w14:textId="142AF984" w:rsidR="00332F24" w:rsidRPr="00EC7196" w:rsidRDefault="00332F24" w:rsidP="00332F24">
            <w:pPr>
              <w:pStyle w:val="FJDocumentHeader"/>
              <w:framePr w:wrap="auto" w:vAnchor="margin" w:hAnchor="text" w:yAlign="inline"/>
              <w:rPr>
                <w:rStyle w:val="Bold"/>
              </w:rPr>
            </w:pPr>
            <w:r>
              <w:t xml:space="preserve">for Fujitsu Integrated System PRIMEFLEX with </w:t>
            </w:r>
            <w:r w:rsidR="00D04349">
              <w:t>Veeam</w:t>
            </w:r>
            <w:r>
              <w:t xml:space="preserve"> </w:t>
            </w:r>
            <w:r w:rsidRPr="00332F24">
              <w:t>Software</w:t>
            </w:r>
          </w:p>
          <w:p w14:paraId="55221C32" w14:textId="77777777" w:rsidR="00332F24" w:rsidRDefault="00332F24" w:rsidP="00EC3ECB">
            <w:pPr>
              <w:pStyle w:val="FSSubheadline"/>
              <w:framePr w:wrap="auto" w:yAlign="inline"/>
            </w:pPr>
            <w:r>
              <w:t>White Paper</w:t>
            </w:r>
          </w:p>
          <w:p w14:paraId="18A085CE" w14:textId="5E5DF521" w:rsidR="00332F24" w:rsidRPr="00154B72" w:rsidRDefault="00332F24" w:rsidP="00EC3ECB"/>
        </w:tc>
      </w:tr>
    </w:tbl>
    <w:p w14:paraId="10459C17" w14:textId="21E14A3E" w:rsidR="00154B72" w:rsidRDefault="00332F24" w:rsidP="003F5BEC">
      <w:r w:rsidRPr="00EC7196">
        <w:rPr>
          <w:noProof/>
          <w:snapToGrid/>
        </w:rPr>
        <w:drawing>
          <wp:anchor distT="0" distB="0" distL="114300" distR="114300" simplePos="0" relativeHeight="251638272" behindDoc="1" locked="0" layoutInCell="1" allowOverlap="1" wp14:anchorId="0F0FC7CB" wp14:editId="42525077">
            <wp:simplePos x="0" y="0"/>
            <wp:positionH relativeFrom="column">
              <wp:posOffset>-485029</wp:posOffset>
            </wp:positionH>
            <wp:positionV relativeFrom="page">
              <wp:posOffset>-64852</wp:posOffset>
            </wp:positionV>
            <wp:extent cx="7557135" cy="3136265"/>
            <wp:effectExtent l="0" t="0" r="571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a:ext>
                      </a:extLst>
                    </a:blip>
                    <a:stretch>
                      <a:fillRect/>
                    </a:stretch>
                  </pic:blipFill>
                  <pic:spPr>
                    <a:xfrm>
                      <a:off x="0" y="0"/>
                      <a:ext cx="7557135" cy="3136265"/>
                    </a:xfrm>
                    <a:prstGeom prst="rect">
                      <a:avLst/>
                    </a:prstGeom>
                  </pic:spPr>
                </pic:pic>
              </a:graphicData>
            </a:graphic>
            <wp14:sizeRelH relativeFrom="margin">
              <wp14:pctWidth>0</wp14:pctWidth>
            </wp14:sizeRelH>
            <wp14:sizeRelV relativeFrom="margin">
              <wp14:pctHeight>0</wp14:pctHeight>
            </wp14:sizeRelV>
          </wp:anchor>
        </w:drawing>
      </w:r>
    </w:p>
    <w:p w14:paraId="3577DBCA" w14:textId="51C14034" w:rsidR="00332F24" w:rsidRDefault="00332F24" w:rsidP="003F5BEC"/>
    <w:p w14:paraId="318D6791" w14:textId="3E2B304B" w:rsidR="00332F24" w:rsidRDefault="00332F24" w:rsidP="00332F24">
      <w:bookmarkStart w:id="0" w:name="_Toc102554713"/>
    </w:p>
    <w:p w14:paraId="144F2E6D" w14:textId="51444C3C" w:rsidR="00332F24" w:rsidRDefault="00332F24" w:rsidP="00332F24">
      <w:pPr>
        <w:pStyle w:val="FSIntroduction"/>
        <w:framePr w:hSpace="0" w:vSpace="0" w:wrap="auto" w:vAnchor="margin" w:hAnchor="text" w:yAlign="inline"/>
      </w:pPr>
      <w:r>
        <w:t xml:space="preserve">Veeam </w:t>
      </w:r>
      <w:r w:rsidRPr="003716AB">
        <w:t>entered the market as a backup &amp; restore solution radically optimized for VMware environments. Learn how Veeam has developed their software to support converged, hyper-converged, and hybrid cloud infrastructure solutions from Fujitsu.</w:t>
      </w:r>
    </w:p>
    <w:p w14:paraId="100D16AA" w14:textId="39E88982" w:rsidR="00D04349" w:rsidRDefault="00D04349" w:rsidP="00332F24">
      <w:pPr>
        <w:pStyle w:val="FSIntroduction"/>
        <w:framePr w:hSpace="0" w:vSpace="0" w:wrap="auto" w:vAnchor="margin" w:hAnchor="text" w:yAlign="inline"/>
      </w:pPr>
      <w:r w:rsidRPr="00EC7196">
        <w:rPr>
          <w:noProof/>
          <w:snapToGrid/>
        </w:rPr>
        <w:drawing>
          <wp:anchor distT="0" distB="0" distL="114300" distR="114300" simplePos="0" relativeHeight="251644416" behindDoc="0" locked="0" layoutInCell="1" allowOverlap="1" wp14:anchorId="59ACE68E" wp14:editId="6AE5ABD0">
            <wp:simplePos x="0" y="0"/>
            <wp:positionH relativeFrom="column">
              <wp:posOffset>-39370</wp:posOffset>
            </wp:positionH>
            <wp:positionV relativeFrom="paragraph">
              <wp:posOffset>179401</wp:posOffset>
            </wp:positionV>
            <wp:extent cx="6593840" cy="85725"/>
            <wp:effectExtent l="0" t="0" r="0" b="952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a:ext>
                      </a:extLst>
                    </a:blip>
                    <a:stretch>
                      <a:fillRect/>
                    </a:stretch>
                  </pic:blipFill>
                  <pic:spPr>
                    <a:xfrm>
                      <a:off x="0" y="0"/>
                      <a:ext cx="6593840" cy="85725"/>
                    </a:xfrm>
                    <a:prstGeom prst="rect">
                      <a:avLst/>
                    </a:prstGeom>
                  </pic:spPr>
                </pic:pic>
              </a:graphicData>
            </a:graphic>
          </wp:anchor>
        </w:drawing>
      </w:r>
    </w:p>
    <w:p w14:paraId="6BF30370" w14:textId="2899DA8A" w:rsidR="00D04349" w:rsidRDefault="00D04349" w:rsidP="00332F24">
      <w:pPr>
        <w:pStyle w:val="FSIntroduction"/>
        <w:framePr w:hSpace="0" w:vSpace="0" w:wrap="auto" w:vAnchor="margin" w:hAnchor="text" w:yAlign="inline"/>
      </w:pPr>
    </w:p>
    <w:p w14:paraId="1E9BEA5E" w14:textId="035FF796" w:rsidR="00D04349" w:rsidRPr="00154B72" w:rsidRDefault="00D04349" w:rsidP="00332F24">
      <w:pPr>
        <w:pStyle w:val="FSIntroduction"/>
        <w:framePr w:hSpace="0" w:vSpace="0" w:wrap="auto" w:vAnchor="margin" w:hAnchor="text" w:yAlign="inline"/>
      </w:pPr>
      <w:r>
        <w:t>Content</w:t>
      </w:r>
    </w:p>
    <w:p w14:paraId="2B59B29E" w14:textId="48035C18" w:rsidR="00BD5FCB" w:rsidRDefault="00D04349">
      <w:pPr>
        <w:pStyle w:val="TOC1"/>
        <w:rPr>
          <w:rFonts w:asciiTheme="minorHAnsi" w:eastAsiaTheme="minorEastAsia" w:hAnsiTheme="minorHAnsi" w:cstheme="minorBidi"/>
          <w:bCs w:val="0"/>
          <w:noProof/>
          <w:snapToGrid/>
          <w:kern w:val="0"/>
          <w:position w:val="0"/>
          <w:szCs w:val="22"/>
          <w:lang w:val="de-DE" w:eastAsia="de-DE"/>
        </w:rPr>
      </w:pPr>
      <w:r>
        <w:fldChar w:fldCharType="begin"/>
      </w:r>
      <w:r>
        <w:instrText xml:space="preserve"> TOC \o "1-3" \h \z \u </w:instrText>
      </w:r>
      <w:r>
        <w:fldChar w:fldCharType="separate"/>
      </w:r>
      <w:hyperlink w:anchor="_Toc115389247" w:history="1">
        <w:r w:rsidR="00BD5FCB" w:rsidRPr="0029257F">
          <w:rPr>
            <w:rStyle w:val="Hyperlink"/>
            <w:noProof/>
          </w:rPr>
          <w:t>1</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Introduction</w:t>
        </w:r>
        <w:r w:rsidR="00BD5FCB">
          <w:rPr>
            <w:noProof/>
            <w:webHidden/>
          </w:rPr>
          <w:tab/>
        </w:r>
        <w:r w:rsidR="00BD5FCB">
          <w:rPr>
            <w:noProof/>
            <w:webHidden/>
          </w:rPr>
          <w:fldChar w:fldCharType="begin"/>
        </w:r>
        <w:r w:rsidR="00BD5FCB">
          <w:rPr>
            <w:noProof/>
            <w:webHidden/>
          </w:rPr>
          <w:instrText xml:space="preserve"> PAGEREF _Toc115389247 \h </w:instrText>
        </w:r>
        <w:r w:rsidR="00BD5FCB">
          <w:rPr>
            <w:noProof/>
            <w:webHidden/>
          </w:rPr>
        </w:r>
        <w:r w:rsidR="00BD5FCB">
          <w:rPr>
            <w:noProof/>
            <w:webHidden/>
          </w:rPr>
          <w:fldChar w:fldCharType="separate"/>
        </w:r>
        <w:r w:rsidR="00BD5FCB">
          <w:rPr>
            <w:noProof/>
            <w:webHidden/>
          </w:rPr>
          <w:t>2</w:t>
        </w:r>
        <w:r w:rsidR="00BD5FCB">
          <w:rPr>
            <w:noProof/>
            <w:webHidden/>
          </w:rPr>
          <w:fldChar w:fldCharType="end"/>
        </w:r>
      </w:hyperlink>
    </w:p>
    <w:p w14:paraId="2B262A7F" w14:textId="39AF7301"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48" w:history="1">
        <w:r w:rsidR="00BD5FCB" w:rsidRPr="0029257F">
          <w:rPr>
            <w:rStyle w:val="Hyperlink"/>
            <w:noProof/>
          </w:rPr>
          <w:t>2</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What you need to know about today and tomorrow</w:t>
        </w:r>
        <w:r w:rsidR="00BD5FCB">
          <w:rPr>
            <w:noProof/>
            <w:webHidden/>
          </w:rPr>
          <w:tab/>
        </w:r>
        <w:r w:rsidR="00BD5FCB">
          <w:rPr>
            <w:noProof/>
            <w:webHidden/>
          </w:rPr>
          <w:fldChar w:fldCharType="begin"/>
        </w:r>
        <w:r w:rsidR="00BD5FCB">
          <w:rPr>
            <w:noProof/>
            <w:webHidden/>
          </w:rPr>
          <w:instrText xml:space="preserve"> PAGEREF _Toc115389248 \h </w:instrText>
        </w:r>
        <w:r w:rsidR="00BD5FCB">
          <w:rPr>
            <w:noProof/>
            <w:webHidden/>
          </w:rPr>
        </w:r>
        <w:r w:rsidR="00BD5FCB">
          <w:rPr>
            <w:noProof/>
            <w:webHidden/>
          </w:rPr>
          <w:fldChar w:fldCharType="separate"/>
        </w:r>
        <w:r w:rsidR="00BD5FCB">
          <w:rPr>
            <w:noProof/>
            <w:webHidden/>
          </w:rPr>
          <w:t>2</w:t>
        </w:r>
        <w:r w:rsidR="00BD5FCB">
          <w:rPr>
            <w:noProof/>
            <w:webHidden/>
          </w:rPr>
          <w:fldChar w:fldCharType="end"/>
        </w:r>
      </w:hyperlink>
    </w:p>
    <w:p w14:paraId="72390E78" w14:textId="4F549A99"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49" w:history="1">
        <w:r w:rsidR="00BD5FCB" w:rsidRPr="0029257F">
          <w:rPr>
            <w:rStyle w:val="Hyperlink"/>
            <w:noProof/>
          </w:rPr>
          <w:t>3</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Veeam as the innovator of data protection software and new usage scenarios</w:t>
        </w:r>
        <w:r w:rsidR="00BD5FCB">
          <w:rPr>
            <w:noProof/>
            <w:webHidden/>
          </w:rPr>
          <w:tab/>
        </w:r>
        <w:r w:rsidR="00BD5FCB">
          <w:rPr>
            <w:noProof/>
            <w:webHidden/>
          </w:rPr>
          <w:fldChar w:fldCharType="begin"/>
        </w:r>
        <w:r w:rsidR="00BD5FCB">
          <w:rPr>
            <w:noProof/>
            <w:webHidden/>
          </w:rPr>
          <w:instrText xml:space="preserve"> PAGEREF _Toc115389249 \h </w:instrText>
        </w:r>
        <w:r w:rsidR="00BD5FCB">
          <w:rPr>
            <w:noProof/>
            <w:webHidden/>
          </w:rPr>
        </w:r>
        <w:r w:rsidR="00BD5FCB">
          <w:rPr>
            <w:noProof/>
            <w:webHidden/>
          </w:rPr>
          <w:fldChar w:fldCharType="separate"/>
        </w:r>
        <w:r w:rsidR="00BD5FCB">
          <w:rPr>
            <w:noProof/>
            <w:webHidden/>
          </w:rPr>
          <w:t>3</w:t>
        </w:r>
        <w:r w:rsidR="00BD5FCB">
          <w:rPr>
            <w:noProof/>
            <w:webHidden/>
          </w:rPr>
          <w:fldChar w:fldCharType="end"/>
        </w:r>
      </w:hyperlink>
    </w:p>
    <w:p w14:paraId="11ED049D" w14:textId="0D226E67"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0" w:history="1">
        <w:r w:rsidR="00BD5FCB" w:rsidRPr="0029257F">
          <w:rPr>
            <w:rStyle w:val="Hyperlink"/>
            <w:noProof/>
          </w:rPr>
          <w:t>4</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What makes Veeam a perfect fit for converged infrastructure solutions?</w:t>
        </w:r>
        <w:r w:rsidR="00BD5FCB">
          <w:rPr>
            <w:noProof/>
            <w:webHidden/>
          </w:rPr>
          <w:tab/>
        </w:r>
        <w:r w:rsidR="00BD5FCB">
          <w:rPr>
            <w:noProof/>
            <w:webHidden/>
          </w:rPr>
          <w:fldChar w:fldCharType="begin"/>
        </w:r>
        <w:r w:rsidR="00BD5FCB">
          <w:rPr>
            <w:noProof/>
            <w:webHidden/>
          </w:rPr>
          <w:instrText xml:space="preserve"> PAGEREF _Toc115389250 \h </w:instrText>
        </w:r>
        <w:r w:rsidR="00BD5FCB">
          <w:rPr>
            <w:noProof/>
            <w:webHidden/>
          </w:rPr>
        </w:r>
        <w:r w:rsidR="00BD5FCB">
          <w:rPr>
            <w:noProof/>
            <w:webHidden/>
          </w:rPr>
          <w:fldChar w:fldCharType="separate"/>
        </w:r>
        <w:r w:rsidR="00BD5FCB">
          <w:rPr>
            <w:noProof/>
            <w:webHidden/>
          </w:rPr>
          <w:t>4</w:t>
        </w:r>
        <w:r w:rsidR="00BD5FCB">
          <w:rPr>
            <w:noProof/>
            <w:webHidden/>
          </w:rPr>
          <w:fldChar w:fldCharType="end"/>
        </w:r>
      </w:hyperlink>
    </w:p>
    <w:p w14:paraId="4CD6A79E" w14:textId="2B004C3A"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1" w:history="1">
        <w:r w:rsidR="00BD5FCB" w:rsidRPr="0029257F">
          <w:rPr>
            <w:rStyle w:val="Hyperlink"/>
            <w:noProof/>
          </w:rPr>
          <w:t>5</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What makes Veeam a perfect fit for hyper-converged infrastructure solutions?</w:t>
        </w:r>
        <w:r w:rsidR="00BD5FCB">
          <w:rPr>
            <w:noProof/>
            <w:webHidden/>
          </w:rPr>
          <w:tab/>
        </w:r>
        <w:r w:rsidR="00BD5FCB">
          <w:rPr>
            <w:noProof/>
            <w:webHidden/>
          </w:rPr>
          <w:fldChar w:fldCharType="begin"/>
        </w:r>
        <w:r w:rsidR="00BD5FCB">
          <w:rPr>
            <w:noProof/>
            <w:webHidden/>
          </w:rPr>
          <w:instrText xml:space="preserve"> PAGEREF _Toc115389251 \h </w:instrText>
        </w:r>
        <w:r w:rsidR="00BD5FCB">
          <w:rPr>
            <w:noProof/>
            <w:webHidden/>
          </w:rPr>
        </w:r>
        <w:r w:rsidR="00BD5FCB">
          <w:rPr>
            <w:noProof/>
            <w:webHidden/>
          </w:rPr>
          <w:fldChar w:fldCharType="separate"/>
        </w:r>
        <w:r w:rsidR="00BD5FCB">
          <w:rPr>
            <w:noProof/>
            <w:webHidden/>
          </w:rPr>
          <w:t>8</w:t>
        </w:r>
        <w:r w:rsidR="00BD5FCB">
          <w:rPr>
            <w:noProof/>
            <w:webHidden/>
          </w:rPr>
          <w:fldChar w:fldCharType="end"/>
        </w:r>
      </w:hyperlink>
    </w:p>
    <w:p w14:paraId="61E93528" w14:textId="1CDFCDB0"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2" w:history="1">
        <w:r w:rsidR="00BD5FCB" w:rsidRPr="0029257F">
          <w:rPr>
            <w:rStyle w:val="Hyperlink"/>
            <w:noProof/>
          </w:rPr>
          <w:t>6</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Perfect combination: Nutanix Mine with Veeam on Fujitsu XF systems</w:t>
        </w:r>
        <w:r w:rsidR="00BD5FCB">
          <w:rPr>
            <w:noProof/>
            <w:webHidden/>
          </w:rPr>
          <w:tab/>
        </w:r>
        <w:r w:rsidR="00BD5FCB">
          <w:rPr>
            <w:noProof/>
            <w:webHidden/>
          </w:rPr>
          <w:fldChar w:fldCharType="begin"/>
        </w:r>
        <w:r w:rsidR="00BD5FCB">
          <w:rPr>
            <w:noProof/>
            <w:webHidden/>
          </w:rPr>
          <w:instrText xml:space="preserve"> PAGEREF _Toc115389252 \h </w:instrText>
        </w:r>
        <w:r w:rsidR="00BD5FCB">
          <w:rPr>
            <w:noProof/>
            <w:webHidden/>
          </w:rPr>
        </w:r>
        <w:r w:rsidR="00BD5FCB">
          <w:rPr>
            <w:noProof/>
            <w:webHidden/>
          </w:rPr>
          <w:fldChar w:fldCharType="separate"/>
        </w:r>
        <w:r w:rsidR="00BD5FCB">
          <w:rPr>
            <w:noProof/>
            <w:webHidden/>
          </w:rPr>
          <w:t>9</w:t>
        </w:r>
        <w:r w:rsidR="00BD5FCB">
          <w:rPr>
            <w:noProof/>
            <w:webHidden/>
          </w:rPr>
          <w:fldChar w:fldCharType="end"/>
        </w:r>
      </w:hyperlink>
    </w:p>
    <w:p w14:paraId="4AA93ACA" w14:textId="1B5C8788"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3" w:history="1">
        <w:r w:rsidR="00BD5FCB" w:rsidRPr="0029257F">
          <w:rPr>
            <w:rStyle w:val="Hyperlink"/>
            <w:noProof/>
          </w:rPr>
          <w:t>7</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What makes Veeam a perfect fit for SAP solutions?</w:t>
        </w:r>
        <w:r w:rsidR="00BD5FCB">
          <w:rPr>
            <w:noProof/>
            <w:webHidden/>
          </w:rPr>
          <w:tab/>
        </w:r>
        <w:r w:rsidR="00BD5FCB">
          <w:rPr>
            <w:noProof/>
            <w:webHidden/>
          </w:rPr>
          <w:fldChar w:fldCharType="begin"/>
        </w:r>
        <w:r w:rsidR="00BD5FCB">
          <w:rPr>
            <w:noProof/>
            <w:webHidden/>
          </w:rPr>
          <w:instrText xml:space="preserve"> PAGEREF _Toc115389253 \h </w:instrText>
        </w:r>
        <w:r w:rsidR="00BD5FCB">
          <w:rPr>
            <w:noProof/>
            <w:webHidden/>
          </w:rPr>
        </w:r>
        <w:r w:rsidR="00BD5FCB">
          <w:rPr>
            <w:noProof/>
            <w:webHidden/>
          </w:rPr>
          <w:fldChar w:fldCharType="separate"/>
        </w:r>
        <w:r w:rsidR="00BD5FCB">
          <w:rPr>
            <w:noProof/>
            <w:webHidden/>
          </w:rPr>
          <w:t>9</w:t>
        </w:r>
        <w:r w:rsidR="00BD5FCB">
          <w:rPr>
            <w:noProof/>
            <w:webHidden/>
          </w:rPr>
          <w:fldChar w:fldCharType="end"/>
        </w:r>
      </w:hyperlink>
    </w:p>
    <w:p w14:paraId="59412981" w14:textId="1A81DA85"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4" w:history="1">
        <w:r w:rsidR="00BD5FCB" w:rsidRPr="0029257F">
          <w:rPr>
            <w:rStyle w:val="Hyperlink"/>
            <w:noProof/>
          </w:rPr>
          <w:t>8</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What different appliances are available for PRIMEFLEX environments?</w:t>
        </w:r>
        <w:r w:rsidR="00BD5FCB">
          <w:rPr>
            <w:noProof/>
            <w:webHidden/>
          </w:rPr>
          <w:tab/>
        </w:r>
        <w:r w:rsidR="00BD5FCB">
          <w:rPr>
            <w:noProof/>
            <w:webHidden/>
          </w:rPr>
          <w:fldChar w:fldCharType="begin"/>
        </w:r>
        <w:r w:rsidR="00BD5FCB">
          <w:rPr>
            <w:noProof/>
            <w:webHidden/>
          </w:rPr>
          <w:instrText xml:space="preserve"> PAGEREF _Toc115389254 \h </w:instrText>
        </w:r>
        <w:r w:rsidR="00BD5FCB">
          <w:rPr>
            <w:noProof/>
            <w:webHidden/>
          </w:rPr>
        </w:r>
        <w:r w:rsidR="00BD5FCB">
          <w:rPr>
            <w:noProof/>
            <w:webHidden/>
          </w:rPr>
          <w:fldChar w:fldCharType="separate"/>
        </w:r>
        <w:r w:rsidR="00BD5FCB">
          <w:rPr>
            <w:noProof/>
            <w:webHidden/>
          </w:rPr>
          <w:t>9</w:t>
        </w:r>
        <w:r w:rsidR="00BD5FCB">
          <w:rPr>
            <w:noProof/>
            <w:webHidden/>
          </w:rPr>
          <w:fldChar w:fldCharType="end"/>
        </w:r>
      </w:hyperlink>
    </w:p>
    <w:p w14:paraId="33E216B3" w14:textId="44D69192"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5" w:history="1">
        <w:r w:rsidR="00BD5FCB" w:rsidRPr="0029257F">
          <w:rPr>
            <w:rStyle w:val="Hyperlink"/>
            <w:noProof/>
          </w:rPr>
          <w:t>9</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Reflection on opening statements and summary</w:t>
        </w:r>
        <w:r w:rsidR="00BD5FCB">
          <w:rPr>
            <w:noProof/>
            <w:webHidden/>
          </w:rPr>
          <w:tab/>
        </w:r>
        <w:r w:rsidR="00BD5FCB">
          <w:rPr>
            <w:noProof/>
            <w:webHidden/>
          </w:rPr>
          <w:fldChar w:fldCharType="begin"/>
        </w:r>
        <w:r w:rsidR="00BD5FCB">
          <w:rPr>
            <w:noProof/>
            <w:webHidden/>
          </w:rPr>
          <w:instrText xml:space="preserve"> PAGEREF _Toc115389255 \h </w:instrText>
        </w:r>
        <w:r w:rsidR="00BD5FCB">
          <w:rPr>
            <w:noProof/>
            <w:webHidden/>
          </w:rPr>
        </w:r>
        <w:r w:rsidR="00BD5FCB">
          <w:rPr>
            <w:noProof/>
            <w:webHidden/>
          </w:rPr>
          <w:fldChar w:fldCharType="separate"/>
        </w:r>
        <w:r w:rsidR="00BD5FCB">
          <w:rPr>
            <w:noProof/>
            <w:webHidden/>
          </w:rPr>
          <w:t>11</w:t>
        </w:r>
        <w:r w:rsidR="00BD5FCB">
          <w:rPr>
            <w:noProof/>
            <w:webHidden/>
          </w:rPr>
          <w:fldChar w:fldCharType="end"/>
        </w:r>
      </w:hyperlink>
    </w:p>
    <w:p w14:paraId="038DACE5" w14:textId="0DA25FE5" w:rsidR="00BD5FCB" w:rsidRDefault="005930F3">
      <w:pPr>
        <w:pStyle w:val="TOC1"/>
        <w:rPr>
          <w:rFonts w:asciiTheme="minorHAnsi" w:eastAsiaTheme="minorEastAsia" w:hAnsiTheme="minorHAnsi" w:cstheme="minorBidi"/>
          <w:bCs w:val="0"/>
          <w:noProof/>
          <w:snapToGrid/>
          <w:kern w:val="0"/>
          <w:position w:val="0"/>
          <w:szCs w:val="22"/>
          <w:lang w:val="de-DE" w:eastAsia="de-DE"/>
        </w:rPr>
      </w:pPr>
      <w:hyperlink w:anchor="_Toc115389256" w:history="1">
        <w:r w:rsidR="00BD5FCB" w:rsidRPr="0029257F">
          <w:rPr>
            <w:rStyle w:val="Hyperlink"/>
            <w:noProof/>
          </w:rPr>
          <w:t>10</w:t>
        </w:r>
        <w:r w:rsidR="00BD5FCB">
          <w:rPr>
            <w:rFonts w:asciiTheme="minorHAnsi" w:eastAsiaTheme="minorEastAsia" w:hAnsiTheme="minorHAnsi" w:cstheme="minorBidi"/>
            <w:bCs w:val="0"/>
            <w:noProof/>
            <w:snapToGrid/>
            <w:kern w:val="0"/>
            <w:position w:val="0"/>
            <w:szCs w:val="22"/>
            <w:lang w:val="de-DE" w:eastAsia="de-DE"/>
          </w:rPr>
          <w:tab/>
        </w:r>
        <w:r w:rsidR="00BD5FCB" w:rsidRPr="0029257F">
          <w:rPr>
            <w:rStyle w:val="Hyperlink"/>
            <w:noProof/>
          </w:rPr>
          <w:t>Link Collection with further information</w:t>
        </w:r>
        <w:r w:rsidR="00BD5FCB">
          <w:rPr>
            <w:noProof/>
            <w:webHidden/>
          </w:rPr>
          <w:tab/>
        </w:r>
        <w:r w:rsidR="00BD5FCB">
          <w:rPr>
            <w:noProof/>
            <w:webHidden/>
          </w:rPr>
          <w:fldChar w:fldCharType="begin"/>
        </w:r>
        <w:r w:rsidR="00BD5FCB">
          <w:rPr>
            <w:noProof/>
            <w:webHidden/>
          </w:rPr>
          <w:instrText xml:space="preserve"> PAGEREF _Toc115389256 \h </w:instrText>
        </w:r>
        <w:r w:rsidR="00BD5FCB">
          <w:rPr>
            <w:noProof/>
            <w:webHidden/>
          </w:rPr>
        </w:r>
        <w:r w:rsidR="00BD5FCB">
          <w:rPr>
            <w:noProof/>
            <w:webHidden/>
          </w:rPr>
          <w:fldChar w:fldCharType="separate"/>
        </w:r>
        <w:r w:rsidR="00BD5FCB">
          <w:rPr>
            <w:noProof/>
            <w:webHidden/>
          </w:rPr>
          <w:t>12</w:t>
        </w:r>
        <w:r w:rsidR="00BD5FCB">
          <w:rPr>
            <w:noProof/>
            <w:webHidden/>
          </w:rPr>
          <w:fldChar w:fldCharType="end"/>
        </w:r>
      </w:hyperlink>
    </w:p>
    <w:p w14:paraId="641C6CE5" w14:textId="6D2E74D3" w:rsidR="00154B72" w:rsidRDefault="00D04349" w:rsidP="003F5BEC">
      <w:r>
        <w:fldChar w:fldCharType="end"/>
      </w:r>
      <w:r w:rsidR="002E22D7">
        <w:rPr>
          <w:noProof/>
        </w:rPr>
        <w:drawing>
          <wp:anchor distT="0" distB="0" distL="114300" distR="114300" simplePos="0" relativeHeight="251635200" behindDoc="1" locked="0" layoutInCell="1" allowOverlap="1" wp14:anchorId="0AF59E85" wp14:editId="07FD2874">
            <wp:simplePos x="0" y="0"/>
            <wp:positionH relativeFrom="column">
              <wp:posOffset>5665470</wp:posOffset>
            </wp:positionH>
            <wp:positionV relativeFrom="paragraph">
              <wp:posOffset>213168</wp:posOffset>
            </wp:positionV>
            <wp:extent cx="1016000" cy="1016000"/>
            <wp:effectExtent l="0" t="0" r="0" b="0"/>
            <wp:wrapTight wrapText="bothSides">
              <wp:wrapPolygon edited="0">
                <wp:start x="6885" y="0"/>
                <wp:lineTo x="4050" y="1215"/>
                <wp:lineTo x="0" y="5265"/>
                <wp:lineTo x="0" y="15390"/>
                <wp:lineTo x="3645" y="19440"/>
                <wp:lineTo x="6480" y="21060"/>
                <wp:lineTo x="6885" y="21060"/>
                <wp:lineTo x="14175" y="21060"/>
                <wp:lineTo x="14580" y="21060"/>
                <wp:lineTo x="17415" y="19440"/>
                <wp:lineTo x="21060" y="15390"/>
                <wp:lineTo x="21060" y="5265"/>
                <wp:lineTo x="17010" y="1215"/>
                <wp:lineTo x="14175" y="0"/>
                <wp:lineTo x="6885"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27A4D84D" w14:textId="096326A1" w:rsidR="00154B72" w:rsidRDefault="00154B72" w:rsidP="003F5BEC"/>
    <w:p w14:paraId="0B9FE342" w14:textId="355C6EA5" w:rsidR="00154B72" w:rsidRDefault="00F213C2" w:rsidP="003F5BEC">
      <w:bookmarkStart w:id="1" w:name="_Toc102554714"/>
      <w:r>
        <w:rPr>
          <w:noProof/>
          <w:lang w:val="de-DE" w:eastAsia="de-DE"/>
        </w:rPr>
        <w:drawing>
          <wp:anchor distT="0" distB="0" distL="114300" distR="114300" simplePos="0" relativeHeight="251636224" behindDoc="0" locked="0" layoutInCell="1" allowOverlap="1" wp14:anchorId="0C599314" wp14:editId="16058E2F">
            <wp:simplePos x="0" y="0"/>
            <wp:positionH relativeFrom="column">
              <wp:posOffset>3712342</wp:posOffset>
            </wp:positionH>
            <wp:positionV relativeFrom="paragraph">
              <wp:posOffset>82347</wp:posOffset>
            </wp:positionV>
            <wp:extent cx="1440000" cy="260071"/>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40000" cy="26007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557E4292" w14:textId="4FE8181F" w:rsidR="00154B72" w:rsidRDefault="00154B72" w:rsidP="003F5BEC"/>
    <w:p w14:paraId="4D66832D" w14:textId="13754302" w:rsidR="00D04349" w:rsidRDefault="00D04349">
      <w:pPr>
        <w:adjustRightInd/>
        <w:snapToGrid/>
        <w:spacing w:after="0"/>
      </w:pPr>
      <w:r>
        <w:br w:type="page"/>
      </w:r>
    </w:p>
    <w:p w14:paraId="72290C3D" w14:textId="77777777" w:rsidR="00001EEA" w:rsidRDefault="00001EEA" w:rsidP="00154B72">
      <w:pPr>
        <w:pStyle w:val="Heading1"/>
        <w:rPr>
          <w:sz w:val="26"/>
          <w:szCs w:val="26"/>
        </w:rPr>
        <w:sectPr w:rsidR="00001EEA" w:rsidSect="00A7419C">
          <w:headerReference w:type="default" r:id="rId15"/>
          <w:footerReference w:type="default" r:id="rId16"/>
          <w:headerReference w:type="first" r:id="rId17"/>
          <w:footerReference w:type="first" r:id="rId18"/>
          <w:pgSz w:w="11906" w:h="16838" w:code="9"/>
          <w:pgMar w:top="-1701" w:right="743" w:bottom="998" w:left="743" w:header="737" w:footer="737" w:gutter="0"/>
          <w:cols w:space="176"/>
          <w:docGrid w:linePitch="299"/>
        </w:sectPr>
      </w:pPr>
    </w:p>
    <w:p w14:paraId="6F6456CB" w14:textId="4C4F78A7" w:rsidR="00154B72" w:rsidRDefault="00154B72" w:rsidP="00154B72">
      <w:pPr>
        <w:pStyle w:val="Heading1"/>
        <w:rPr>
          <w:sz w:val="26"/>
          <w:szCs w:val="26"/>
        </w:rPr>
      </w:pPr>
      <w:bookmarkStart w:id="2" w:name="_Toc115389247"/>
      <w:r w:rsidRPr="00154B72">
        <w:rPr>
          <w:sz w:val="26"/>
          <w:szCs w:val="26"/>
        </w:rPr>
        <w:lastRenderedPageBreak/>
        <w:t>Introduction</w:t>
      </w:r>
      <w:bookmarkEnd w:id="2"/>
    </w:p>
    <w:p w14:paraId="4AB29CAA" w14:textId="7AC62A96" w:rsidR="00892639" w:rsidRPr="00F61F1D" w:rsidRDefault="00892639" w:rsidP="00892639">
      <w:pPr>
        <w:rPr>
          <w:sz w:val="20"/>
        </w:rPr>
      </w:pPr>
      <w:r w:rsidRPr="00F61F1D">
        <w:rPr>
          <w:sz w:val="20"/>
        </w:rPr>
        <w:t xml:space="preserve">We at Fujitsu </w:t>
      </w:r>
      <w:r w:rsidR="0098382F">
        <w:rPr>
          <w:sz w:val="20"/>
        </w:rPr>
        <w:t>partner with the major</w:t>
      </w:r>
      <w:r w:rsidRPr="00F61F1D">
        <w:rPr>
          <w:sz w:val="20"/>
        </w:rPr>
        <w:t xml:space="preserve"> </w:t>
      </w:r>
      <w:r w:rsidR="00D04349" w:rsidRPr="00F61F1D">
        <w:rPr>
          <w:sz w:val="20"/>
        </w:rPr>
        <w:t xml:space="preserve">software vendors </w:t>
      </w:r>
      <w:r w:rsidR="00D04349">
        <w:rPr>
          <w:sz w:val="20"/>
        </w:rPr>
        <w:t xml:space="preserve">for </w:t>
      </w:r>
      <w:r w:rsidRPr="00F61F1D">
        <w:rPr>
          <w:sz w:val="20"/>
        </w:rPr>
        <w:t>backup, restore and archiving</w:t>
      </w:r>
      <w:r w:rsidR="0098382F">
        <w:rPr>
          <w:sz w:val="20"/>
        </w:rPr>
        <w:t>.</w:t>
      </w:r>
      <w:r w:rsidRPr="00F61F1D">
        <w:rPr>
          <w:sz w:val="20"/>
        </w:rPr>
        <w:t xml:space="preserve"> It is important to us not only to be able to consult you in designing the right virtualized or software-defined infrastructure, but also to combine it with the individually best-fitting data protection environment. Consolidating primary, secondary and tertiary data assets under one roof is helping </w:t>
      </w:r>
      <w:r w:rsidR="00692D59">
        <w:rPr>
          <w:sz w:val="20"/>
        </w:rPr>
        <w:t xml:space="preserve">to </w:t>
      </w:r>
      <w:r w:rsidRPr="00F61F1D">
        <w:rPr>
          <w:sz w:val="20"/>
        </w:rPr>
        <w:t xml:space="preserve">harmonize service and support – resulting in less trouble, less cost and better operations. </w:t>
      </w:r>
      <w:r w:rsidR="00D04349" w:rsidRPr="00F61F1D">
        <w:rPr>
          <w:sz w:val="20"/>
        </w:rPr>
        <w:t>To</w:t>
      </w:r>
      <w:r w:rsidRPr="00F61F1D">
        <w:rPr>
          <w:sz w:val="20"/>
        </w:rPr>
        <w:t xml:space="preserve"> facilitate this task, we enable </w:t>
      </w:r>
      <w:r w:rsidR="0098382F">
        <w:rPr>
          <w:sz w:val="20"/>
        </w:rPr>
        <w:t>our customers</w:t>
      </w:r>
      <w:r w:rsidRPr="00F61F1D">
        <w:rPr>
          <w:sz w:val="20"/>
        </w:rPr>
        <w:t xml:space="preserve"> to become acquainted with the different value propositions and technical scopes of Veritas, Commvault and Veeam. </w:t>
      </w:r>
    </w:p>
    <w:p w14:paraId="413104B1" w14:textId="2E2C5F5D" w:rsidR="00892639" w:rsidRPr="00F61F1D" w:rsidRDefault="00892639" w:rsidP="00892639">
      <w:pPr>
        <w:rPr>
          <w:sz w:val="20"/>
        </w:rPr>
      </w:pPr>
      <w:r w:rsidRPr="00F61F1D">
        <w:rPr>
          <w:sz w:val="20"/>
        </w:rPr>
        <w:t>The Veeam Data Protection white</w:t>
      </w:r>
      <w:r w:rsidR="00D04349">
        <w:rPr>
          <w:sz w:val="20"/>
        </w:rPr>
        <w:t xml:space="preserve"> </w:t>
      </w:r>
      <w:r w:rsidRPr="00F61F1D">
        <w:rPr>
          <w:sz w:val="20"/>
        </w:rPr>
        <w:t xml:space="preserve">paper for technical decision makers and influencers has the following structure: </w:t>
      </w:r>
    </w:p>
    <w:p w14:paraId="108DD977" w14:textId="432E7049" w:rsidR="00892639" w:rsidRPr="00B35A17" w:rsidRDefault="00892639" w:rsidP="00892639">
      <w:pPr>
        <w:pStyle w:val="ListParagraph"/>
        <w:numPr>
          <w:ilvl w:val="0"/>
          <w:numId w:val="31"/>
        </w:numPr>
        <w:rPr>
          <w:sz w:val="20"/>
        </w:rPr>
      </w:pPr>
      <w:r w:rsidRPr="00B35A17">
        <w:rPr>
          <w:sz w:val="20"/>
        </w:rPr>
        <w:t>A brief introduction into the world of data protection - today and tomorrow</w:t>
      </w:r>
    </w:p>
    <w:p w14:paraId="2CDC5192" w14:textId="686A3622" w:rsidR="00892639" w:rsidRPr="00B35A17" w:rsidRDefault="00892639" w:rsidP="00892639">
      <w:pPr>
        <w:pStyle w:val="ListParagraph"/>
        <w:numPr>
          <w:ilvl w:val="0"/>
          <w:numId w:val="31"/>
        </w:numPr>
        <w:rPr>
          <w:sz w:val="20"/>
        </w:rPr>
      </w:pPr>
      <w:r w:rsidRPr="00B35A17">
        <w:rPr>
          <w:sz w:val="20"/>
        </w:rPr>
        <w:t>Veeam as the innovator of data protection software and new usage scenarios</w:t>
      </w:r>
    </w:p>
    <w:p w14:paraId="1B320F61" w14:textId="7654CD82" w:rsidR="00892639" w:rsidRPr="00B35A17" w:rsidRDefault="00892639" w:rsidP="00892639">
      <w:pPr>
        <w:pStyle w:val="ListParagraph"/>
        <w:numPr>
          <w:ilvl w:val="0"/>
          <w:numId w:val="31"/>
        </w:numPr>
        <w:rPr>
          <w:sz w:val="20"/>
        </w:rPr>
      </w:pPr>
      <w:r w:rsidRPr="00B35A17">
        <w:rPr>
          <w:sz w:val="20"/>
        </w:rPr>
        <w:t>What makes Veeam a perfect fit for converged infrastructure solutions?</w:t>
      </w:r>
    </w:p>
    <w:p w14:paraId="6A84BEB3" w14:textId="77777777" w:rsidR="00892639" w:rsidRPr="00B35A17" w:rsidRDefault="00892639" w:rsidP="00892639">
      <w:pPr>
        <w:pStyle w:val="ListParagraph"/>
        <w:numPr>
          <w:ilvl w:val="0"/>
          <w:numId w:val="31"/>
        </w:numPr>
        <w:rPr>
          <w:sz w:val="20"/>
        </w:rPr>
      </w:pPr>
      <w:r w:rsidRPr="00B35A17">
        <w:rPr>
          <w:sz w:val="20"/>
        </w:rPr>
        <w:t>What makes Veeam a perfect fit for hyper-converged infrastructure solutions?</w:t>
      </w:r>
    </w:p>
    <w:p w14:paraId="0194B74B" w14:textId="6E6DE645" w:rsidR="00892639" w:rsidRPr="00B35A17" w:rsidRDefault="00892639" w:rsidP="00892639">
      <w:pPr>
        <w:pStyle w:val="ListParagraph"/>
        <w:numPr>
          <w:ilvl w:val="0"/>
          <w:numId w:val="31"/>
        </w:numPr>
        <w:rPr>
          <w:sz w:val="20"/>
        </w:rPr>
      </w:pPr>
      <w:r w:rsidRPr="00B35A17">
        <w:rPr>
          <w:sz w:val="20"/>
        </w:rPr>
        <w:t xml:space="preserve">What different </w:t>
      </w:r>
      <w:r w:rsidR="0098382F">
        <w:rPr>
          <w:sz w:val="20"/>
        </w:rPr>
        <w:t>d</w:t>
      </w:r>
      <w:r w:rsidRPr="00B35A17">
        <w:rPr>
          <w:sz w:val="20"/>
        </w:rPr>
        <w:t xml:space="preserve">ata </w:t>
      </w:r>
      <w:r w:rsidR="0098382F">
        <w:rPr>
          <w:sz w:val="20"/>
        </w:rPr>
        <w:t>p</w:t>
      </w:r>
      <w:r w:rsidRPr="00B35A17">
        <w:rPr>
          <w:sz w:val="20"/>
        </w:rPr>
        <w:t xml:space="preserve">rotection </w:t>
      </w:r>
      <w:r w:rsidR="0098382F">
        <w:rPr>
          <w:sz w:val="20"/>
        </w:rPr>
        <w:t>a</w:t>
      </w:r>
      <w:r w:rsidRPr="00B35A17">
        <w:rPr>
          <w:sz w:val="20"/>
        </w:rPr>
        <w:t>ppliances are available?</w:t>
      </w:r>
    </w:p>
    <w:p w14:paraId="414858B1" w14:textId="5D8C3F76" w:rsidR="00892639" w:rsidRPr="00B35A17" w:rsidRDefault="00892639" w:rsidP="00892639">
      <w:pPr>
        <w:pStyle w:val="ListParagraph"/>
        <w:numPr>
          <w:ilvl w:val="0"/>
          <w:numId w:val="31"/>
        </w:numPr>
        <w:spacing w:after="0"/>
        <w:rPr>
          <w:sz w:val="20"/>
        </w:rPr>
      </w:pPr>
      <w:r w:rsidRPr="00B35A17">
        <w:rPr>
          <w:sz w:val="20"/>
        </w:rPr>
        <w:t>Reflection on opening statements and summary</w:t>
      </w:r>
    </w:p>
    <w:p w14:paraId="3C703A07" w14:textId="77777777" w:rsidR="00892639" w:rsidRPr="00892639" w:rsidRDefault="00892639" w:rsidP="00892639"/>
    <w:p w14:paraId="051CC23C" w14:textId="18D8305D" w:rsidR="00B767A3" w:rsidRDefault="00F213C2" w:rsidP="00F213C2">
      <w:pPr>
        <w:pStyle w:val="Heading1"/>
        <w:rPr>
          <w:sz w:val="26"/>
          <w:szCs w:val="26"/>
        </w:rPr>
      </w:pPr>
      <w:bookmarkStart w:id="3" w:name="_Toc115389248"/>
      <w:r>
        <w:rPr>
          <w:sz w:val="26"/>
          <w:szCs w:val="26"/>
        </w:rPr>
        <w:t>What you need to know about today and tomorrow</w:t>
      </w:r>
      <w:bookmarkEnd w:id="3"/>
    </w:p>
    <w:p w14:paraId="7B4DC4EA" w14:textId="503EFF9C" w:rsidR="00A4140B" w:rsidRPr="005471CF" w:rsidRDefault="00A4140B" w:rsidP="00A4140B">
      <w:pPr>
        <w:rPr>
          <w:rFonts w:cs="Fujitsu Sans Light"/>
          <w:sz w:val="20"/>
          <w:szCs w:val="20"/>
        </w:rPr>
      </w:pPr>
      <w:r w:rsidRPr="005471CF">
        <w:rPr>
          <w:rFonts w:cs="Fujitsu Sans Light"/>
          <w:sz w:val="20"/>
          <w:szCs w:val="20"/>
        </w:rPr>
        <w:t>Historically, we saw each production platform (mainframe, midrange, NetWare, Windows, virtual) usurp the one before it – but that is not true this time. This time it is about adding.</w:t>
      </w:r>
      <w:r w:rsidR="00E73F2E">
        <w:rPr>
          <w:rFonts w:cs="Fujitsu Sans Light"/>
          <w:sz w:val="20"/>
          <w:szCs w:val="20"/>
        </w:rPr>
        <w:t xml:space="preserve"> </w:t>
      </w:r>
      <w:r w:rsidRPr="005471CF">
        <w:rPr>
          <w:rFonts w:cs="Fujitsu Sans Light"/>
          <w:sz w:val="20"/>
          <w:szCs w:val="20"/>
        </w:rPr>
        <w:t xml:space="preserve">For most organizations that are investigating cloud services (plural), there isn’t as clear a sentiment that they are “turning off” their existing datacenters, as much as extending them within a multi-cloud strategy. Consequently, it is critical that, as workloads evolve from </w:t>
      </w:r>
      <w:r w:rsidR="00D04349" w:rsidRPr="005471CF">
        <w:rPr>
          <w:rFonts w:cs="Fujitsu Sans Light"/>
          <w:sz w:val="20"/>
          <w:szCs w:val="20"/>
        </w:rPr>
        <w:t>on-premises</w:t>
      </w:r>
      <w:r w:rsidRPr="005471CF">
        <w:rPr>
          <w:rFonts w:cs="Fujitsu Sans Light"/>
          <w:sz w:val="20"/>
          <w:szCs w:val="20"/>
        </w:rPr>
        <w:t xml:space="preserve"> platforms (</w:t>
      </w:r>
      <w:r w:rsidR="00D04349" w:rsidRPr="005471CF">
        <w:rPr>
          <w:rFonts w:cs="Fujitsu Sans Light"/>
          <w:sz w:val="20"/>
          <w:szCs w:val="20"/>
        </w:rPr>
        <w:t>e.g.,</w:t>
      </w:r>
      <w:r w:rsidRPr="005471CF">
        <w:rPr>
          <w:rFonts w:cs="Fujitsu Sans Light"/>
          <w:sz w:val="20"/>
          <w:szCs w:val="20"/>
        </w:rPr>
        <w:t xml:space="preserve"> Exchange) to cloud services (</w:t>
      </w:r>
      <w:r w:rsidR="00D04349" w:rsidRPr="005471CF">
        <w:rPr>
          <w:rFonts w:cs="Fujitsu Sans Light"/>
          <w:sz w:val="20"/>
          <w:szCs w:val="20"/>
        </w:rPr>
        <w:t>e.g.,</w:t>
      </w:r>
      <w:r w:rsidRPr="005471CF">
        <w:rPr>
          <w:rFonts w:cs="Fujitsu Sans Light"/>
          <w:sz w:val="20"/>
          <w:szCs w:val="20"/>
        </w:rPr>
        <w:t xml:space="preserve"> Office 365), you should not devolve from “well-protected” to “non-protected.” </w:t>
      </w:r>
      <w:r w:rsidR="00D04349" w:rsidRPr="005471CF">
        <w:rPr>
          <w:rFonts w:cs="Fujitsu Sans Light"/>
          <w:sz w:val="20"/>
          <w:szCs w:val="20"/>
        </w:rPr>
        <w:t>To</w:t>
      </w:r>
      <w:r w:rsidRPr="005471CF">
        <w:rPr>
          <w:rFonts w:cs="Fujitsu Sans Light"/>
          <w:sz w:val="20"/>
          <w:szCs w:val="20"/>
        </w:rPr>
        <w:t xml:space="preserve"> understand what that means, we </w:t>
      </w:r>
      <w:r w:rsidR="00D04349" w:rsidRPr="005471CF">
        <w:rPr>
          <w:rFonts w:cs="Fujitsu Sans Light"/>
          <w:sz w:val="20"/>
          <w:szCs w:val="20"/>
        </w:rPr>
        <w:t>must</w:t>
      </w:r>
      <w:r w:rsidRPr="005471CF">
        <w:rPr>
          <w:rFonts w:cs="Fujitsu Sans Light"/>
          <w:sz w:val="20"/>
          <w:szCs w:val="20"/>
        </w:rPr>
        <w:t xml:space="preserve"> categorize the complexity that your organization will be challenged with today and tomorrow. In the past you were backing up servers, then VMs, now maybe containers, while in the cloud era your job is to recover complete cloud native apps and database environments, or</w:t>
      </w:r>
      <w:r w:rsidR="00161AB5">
        <w:rPr>
          <w:rFonts w:cs="Fujitsu Sans Light"/>
          <w:sz w:val="20"/>
          <w:szCs w:val="20"/>
        </w:rPr>
        <w:t xml:space="preserve"> </w:t>
      </w:r>
      <w:r w:rsidRPr="005471CF">
        <w:rPr>
          <w:rFonts w:cs="Fujitsu Sans Light"/>
          <w:sz w:val="20"/>
          <w:szCs w:val="20"/>
        </w:rPr>
        <w:t xml:space="preserve">simply </w:t>
      </w:r>
      <w:r w:rsidR="00D04349" w:rsidRPr="005471CF">
        <w:rPr>
          <w:rFonts w:cs="Fujitsu Sans Light"/>
          <w:sz w:val="20"/>
          <w:szCs w:val="20"/>
        </w:rPr>
        <w:t>put</w:t>
      </w:r>
      <w:r w:rsidRPr="005471CF">
        <w:rPr>
          <w:rFonts w:cs="Fujitsu Sans Light"/>
          <w:sz w:val="20"/>
          <w:szCs w:val="20"/>
        </w:rPr>
        <w:t xml:space="preserve"> services.</w:t>
      </w:r>
    </w:p>
    <w:p w14:paraId="71882D61" w14:textId="2E333EA4" w:rsidR="00A4140B" w:rsidRPr="005471CF" w:rsidRDefault="00A4140B" w:rsidP="00A4140B">
      <w:pPr>
        <w:rPr>
          <w:rFonts w:cs="Fujitsu Sans Light"/>
          <w:sz w:val="20"/>
          <w:szCs w:val="20"/>
        </w:rPr>
      </w:pPr>
      <w:r w:rsidRPr="005471CF">
        <w:rPr>
          <w:rFonts w:cs="Fujitsu Sans Light"/>
          <w:sz w:val="20"/>
          <w:szCs w:val="20"/>
        </w:rPr>
        <w:t xml:space="preserve">Moving from servers to services does not absolve you of the long-term retention and multi-version operational recovery mandates that IT has always been governed by, but it can complicate your strategy if you are not mindful of the different mechanisms and processes necessary to protect these newer platforms. To ignore that reality is to put your data, and your organization, in peril. Said another way, if data centers were still running standalone SQL and Exchange on top of </w:t>
      </w:r>
      <w:r w:rsidR="00070CFE">
        <w:rPr>
          <w:rFonts w:cs="Fujitsu Sans Light"/>
          <w:sz w:val="20"/>
          <w:szCs w:val="20"/>
        </w:rPr>
        <w:t xml:space="preserve">older </w:t>
      </w:r>
      <w:r w:rsidRPr="005471CF">
        <w:rPr>
          <w:rFonts w:cs="Fujitsu Sans Light"/>
          <w:sz w:val="20"/>
          <w:szCs w:val="20"/>
        </w:rPr>
        <w:t xml:space="preserve">Windows Server, no one would spend any money on backup, other than adding backup capacity. However, as workloads change, legacy backup mechanisms and strategies become woefully inadequate. So, when you modernize production, you must modernize protection. </w:t>
      </w:r>
    </w:p>
    <w:p w14:paraId="2BA5468A" w14:textId="50E88F3C" w:rsidR="00161AB5" w:rsidRDefault="00161AB5">
      <w:pPr>
        <w:adjustRightInd/>
        <w:snapToGrid/>
        <w:spacing w:after="0"/>
      </w:pPr>
      <w:r>
        <w:br w:type="page"/>
      </w:r>
    </w:p>
    <w:p w14:paraId="1C2782C9" w14:textId="7CD571D3" w:rsidR="00A7419C" w:rsidRDefault="00B20B36" w:rsidP="00F213C2">
      <w:pPr>
        <w:pStyle w:val="Heading1"/>
        <w:rPr>
          <w:sz w:val="26"/>
          <w:szCs w:val="26"/>
        </w:rPr>
      </w:pPr>
      <w:bookmarkStart w:id="4" w:name="_Toc115389249"/>
      <w:r>
        <w:rPr>
          <w:sz w:val="26"/>
          <w:szCs w:val="26"/>
        </w:rPr>
        <w:lastRenderedPageBreak/>
        <w:t>Veeam as the innovator of data protection software and new usage scenarios</w:t>
      </w:r>
      <w:bookmarkEnd w:id="4"/>
    </w:p>
    <w:p w14:paraId="70FD4C86" w14:textId="78F209C9" w:rsidR="006B7CBD" w:rsidRPr="00D53B6D" w:rsidRDefault="006B7CBD" w:rsidP="006B7CBD">
      <w:pPr>
        <w:spacing w:after="0"/>
        <w:rPr>
          <w:rFonts w:ascii="Fujitsu Infinity Pro Bold" w:hAnsi="Fujitsu Infinity Pro Bold"/>
          <w:sz w:val="20"/>
        </w:rPr>
      </w:pPr>
      <w:r w:rsidRPr="00D53B6D">
        <w:rPr>
          <w:rFonts w:ascii="Fujitsu Infinity Pro Bold" w:hAnsi="Fujitsu Infinity Pro Bold"/>
          <w:sz w:val="20"/>
        </w:rPr>
        <w:t>Why Veeam can play the center role in your IT innovation strategy</w:t>
      </w:r>
    </w:p>
    <w:p w14:paraId="4455E402" w14:textId="202E7E5D" w:rsidR="00C22CB0" w:rsidRPr="001A4A16" w:rsidRDefault="0088174E" w:rsidP="006B7CBD">
      <w:pPr>
        <w:spacing w:after="0"/>
        <w:rPr>
          <w:sz w:val="20"/>
        </w:rPr>
      </w:pPr>
      <w:r>
        <w:rPr>
          <w:noProof/>
          <w:snapToGrid/>
          <w:sz w:val="20"/>
        </w:rPr>
        <w:drawing>
          <wp:anchor distT="0" distB="0" distL="114300" distR="114300" simplePos="0" relativeHeight="251656704" behindDoc="0" locked="0" layoutInCell="1" allowOverlap="1" wp14:anchorId="6623005B" wp14:editId="6E2C62B5">
            <wp:simplePos x="0" y="0"/>
            <wp:positionH relativeFrom="column">
              <wp:posOffset>2605063</wp:posOffset>
            </wp:positionH>
            <wp:positionV relativeFrom="paragraph">
              <wp:posOffset>69215</wp:posOffset>
            </wp:positionV>
            <wp:extent cx="4316095" cy="3810635"/>
            <wp:effectExtent l="0" t="0" r="0" b="0"/>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16095" cy="3810635"/>
                    </a:xfrm>
                    <a:prstGeom prst="rect">
                      <a:avLst/>
                    </a:prstGeom>
                    <a:noFill/>
                  </pic:spPr>
                </pic:pic>
              </a:graphicData>
            </a:graphic>
            <wp14:sizeRelH relativeFrom="page">
              <wp14:pctWidth>0</wp14:pctWidth>
            </wp14:sizeRelH>
            <wp14:sizeRelV relativeFrom="page">
              <wp14:pctHeight>0</wp14:pctHeight>
            </wp14:sizeRelV>
          </wp:anchor>
        </w:drawing>
      </w:r>
      <w:r w:rsidR="00AF7509">
        <w:rPr>
          <w:noProof/>
          <w:sz w:val="20"/>
        </w:rPr>
        <w:drawing>
          <wp:anchor distT="0" distB="0" distL="114300" distR="114300" simplePos="0" relativeHeight="251637248" behindDoc="0" locked="0" layoutInCell="1" allowOverlap="1" wp14:anchorId="45F4F282" wp14:editId="37D3BE74">
            <wp:simplePos x="0" y="0"/>
            <wp:positionH relativeFrom="column">
              <wp:posOffset>2579370</wp:posOffset>
            </wp:positionH>
            <wp:positionV relativeFrom="paragraph">
              <wp:posOffset>71120</wp:posOffset>
            </wp:positionV>
            <wp:extent cx="4319905" cy="3891280"/>
            <wp:effectExtent l="0" t="0" r="444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319905" cy="389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CBD" w:rsidRPr="001A4A16">
        <w:rPr>
          <w:sz w:val="20"/>
        </w:rPr>
        <w:t xml:space="preserve">The reason why so many in IT categorize backup as a “dead” investment is because they perceive the collected data as unusable, “dead”. Up to that moment (which hopefully never comes) when something has been deleted or was even destroyed so that the “dead” data needs to be revived again. Then the “dead” investment is producing some </w:t>
      </w:r>
      <w:proofErr w:type="spellStart"/>
      <w:r w:rsidR="006B7CBD" w:rsidRPr="001A4A16">
        <w:rPr>
          <w:sz w:val="20"/>
        </w:rPr>
        <w:t>RoI</w:t>
      </w:r>
      <w:proofErr w:type="spellEnd"/>
      <w:r w:rsidR="006B7CBD" w:rsidRPr="001A4A16">
        <w:rPr>
          <w:sz w:val="20"/>
        </w:rPr>
        <w:t xml:space="preserve"> (return on invest) and the whole investment then becomes justified.</w:t>
      </w:r>
      <w:r w:rsidR="00E73F2E">
        <w:rPr>
          <w:sz w:val="20"/>
        </w:rPr>
        <w:t xml:space="preserve"> </w:t>
      </w:r>
      <w:r w:rsidR="006B7CBD" w:rsidRPr="001A4A16">
        <w:rPr>
          <w:sz w:val="20"/>
        </w:rPr>
        <w:t>Veeam</w:t>
      </w:r>
      <w:r w:rsidR="006B7CBD" w:rsidRPr="001A4A16">
        <w:rPr>
          <w:rFonts w:ascii="Cambria" w:hAnsi="Cambria" w:cs="Cambria"/>
          <w:sz w:val="20"/>
        </w:rPr>
        <w:t>´</w:t>
      </w:r>
      <w:r w:rsidR="006B7CBD" w:rsidRPr="001A4A16">
        <w:rPr>
          <w:sz w:val="20"/>
        </w:rPr>
        <w:t>s strategic credo is to enable customers to use their backup data in a productive way in every form imaginable. Veeam has a built-in, cost-free sandbox environment, which they call “</w:t>
      </w:r>
      <w:proofErr w:type="spellStart"/>
      <w:r w:rsidR="006B7CBD" w:rsidRPr="001A4A16">
        <w:rPr>
          <w:sz w:val="20"/>
        </w:rPr>
        <w:t>DataLabs</w:t>
      </w:r>
      <w:proofErr w:type="spellEnd"/>
      <w:r w:rsidR="006B7CBD" w:rsidRPr="001A4A16">
        <w:rPr>
          <w:sz w:val="20"/>
        </w:rPr>
        <w:t>”.</w:t>
      </w:r>
      <w:r w:rsidR="00BB753A" w:rsidRPr="00BB753A">
        <w:rPr>
          <w:noProof/>
          <w:snapToGrid/>
        </w:rPr>
        <w:t xml:space="preserve"> </w:t>
      </w:r>
    </w:p>
    <w:p w14:paraId="6728F625" w14:textId="6627C271" w:rsidR="00AF7509" w:rsidRPr="00AF7509" w:rsidRDefault="00AF7509" w:rsidP="003B6481">
      <w:pPr>
        <w:pStyle w:val="Caption"/>
        <w:rPr>
          <w:i w:val="0"/>
          <w:iCs w:val="0"/>
          <w:color w:val="auto"/>
          <w:sz w:val="20"/>
          <w:szCs w:val="24"/>
        </w:rPr>
      </w:pPr>
      <w:r>
        <w:rPr>
          <w:noProof/>
        </w:rPr>
        <mc:AlternateContent>
          <mc:Choice Requires="wps">
            <w:drawing>
              <wp:anchor distT="0" distB="0" distL="114300" distR="114300" simplePos="0" relativeHeight="251653632" behindDoc="0" locked="0" layoutInCell="1" allowOverlap="1" wp14:anchorId="34C9F76D" wp14:editId="513E35FE">
                <wp:simplePos x="0" y="0"/>
                <wp:positionH relativeFrom="column">
                  <wp:posOffset>2575560</wp:posOffset>
                </wp:positionH>
                <wp:positionV relativeFrom="paragraph">
                  <wp:posOffset>1068912</wp:posOffset>
                </wp:positionV>
                <wp:extent cx="4319905" cy="635"/>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14:paraId="79190B45" w14:textId="69FF3931" w:rsidR="00424461" w:rsidRPr="00EC4136" w:rsidRDefault="00424461" w:rsidP="00424461">
                            <w:pPr>
                              <w:pStyle w:val="Caption"/>
                              <w:rPr>
                                <w:noProof/>
                                <w:color w:val="auto"/>
                                <w:sz w:val="20"/>
                                <w:szCs w:val="24"/>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1</w:t>
                            </w:r>
                            <w:r w:rsidRPr="00EC4136">
                              <w:rPr>
                                <w:color w:val="auto"/>
                              </w:rPr>
                              <w:fldChar w:fldCharType="end"/>
                            </w:r>
                            <w:r w:rsidRPr="00EC4136">
                              <w:rPr>
                                <w:color w:val="auto"/>
                              </w:rPr>
                              <w:t xml:space="preserve">: </w:t>
                            </w:r>
                            <w:r w:rsidR="0088174E">
                              <w:rPr>
                                <w:color w:val="auto"/>
                              </w:rPr>
                              <w:t xml:space="preserve">Veeam </w:t>
                            </w:r>
                            <w:r w:rsidRPr="00EC4136">
                              <w:rPr>
                                <w:color w:val="auto"/>
                              </w:rPr>
                              <w:t>Cloud Data Management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C9F76D" id="_x0000_t202" coordsize="21600,21600" o:spt="202" path="m,l,21600r21600,l21600,xe">
                <v:stroke joinstyle="miter"/>
                <v:path gradientshapeok="t" o:connecttype="rect"/>
              </v:shapetype>
              <v:shape id="Textfeld 19" o:spid="_x0000_s1026" type="#_x0000_t202" style="position:absolute;margin-left:202.8pt;margin-top:84.15pt;width:340.1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" stroked="f">
                <v:textbox style="mso-fit-shape-to-text:t" inset="0,0,0,0">
                  <w:txbxContent>
                    <w:p w14:paraId="79190B45" w14:textId="69FF3931" w:rsidR="00424461" w:rsidRPr="00EC4136" w:rsidRDefault="00424461" w:rsidP="00424461">
                      <w:pPr>
                        <w:pStyle w:val="Caption"/>
                        <w:rPr>
                          <w:noProof/>
                          <w:color w:val="auto"/>
                          <w:sz w:val="20"/>
                          <w:szCs w:val="24"/>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1</w:t>
                      </w:r>
                      <w:r w:rsidRPr="00EC4136">
                        <w:rPr>
                          <w:color w:val="auto"/>
                        </w:rPr>
                        <w:fldChar w:fldCharType="end"/>
                      </w:r>
                      <w:r w:rsidRPr="00EC4136">
                        <w:rPr>
                          <w:color w:val="auto"/>
                        </w:rPr>
                        <w:t xml:space="preserve">: </w:t>
                      </w:r>
                      <w:r w:rsidR="0088174E">
                        <w:rPr>
                          <w:color w:val="auto"/>
                        </w:rPr>
                        <w:t xml:space="preserve">Veeam </w:t>
                      </w:r>
                      <w:r w:rsidRPr="00EC4136">
                        <w:rPr>
                          <w:color w:val="auto"/>
                        </w:rPr>
                        <w:t>Cloud Data Management Platform</w:t>
                      </w:r>
                    </w:p>
                  </w:txbxContent>
                </v:textbox>
                <w10:wrap type="square"/>
              </v:shape>
            </w:pict>
          </mc:Fallback>
        </mc:AlternateContent>
      </w:r>
      <w:r>
        <w:rPr>
          <w:i w:val="0"/>
          <w:iCs w:val="0"/>
          <w:color w:val="auto"/>
          <w:sz w:val="20"/>
          <w:szCs w:val="24"/>
        </w:rPr>
        <w:t>Th</w:t>
      </w:r>
      <w:r w:rsidR="006B7CBD" w:rsidRPr="00AF7509">
        <w:rPr>
          <w:i w:val="0"/>
          <w:iCs w:val="0"/>
          <w:color w:val="auto"/>
          <w:sz w:val="20"/>
          <w:szCs w:val="24"/>
        </w:rPr>
        <w:t xml:space="preserve">is highly developed sandbox system enables the data protection IT staff to differentiate between “productive” (hot/active = don’t-touch) data and “Backup” (copied/cold = you’re-ok-to-experiment-with-this) data. Providing their colleagues from the different departments with data resources, they can instantaneously use these to analyze, simulate, bend, transform and extrapolate. </w:t>
      </w:r>
      <w:r>
        <w:rPr>
          <w:i w:val="0"/>
          <w:iCs w:val="0"/>
          <w:color w:val="auto"/>
          <w:sz w:val="20"/>
          <w:szCs w:val="24"/>
        </w:rPr>
        <w:br/>
      </w:r>
      <w:r w:rsidR="006B7CBD" w:rsidRPr="00AF7509">
        <w:rPr>
          <w:i w:val="0"/>
          <w:iCs w:val="0"/>
          <w:color w:val="auto"/>
          <w:sz w:val="20"/>
          <w:szCs w:val="24"/>
        </w:rPr>
        <w:t xml:space="preserve">Here are some real-life examples: </w:t>
      </w:r>
    </w:p>
    <w:p w14:paraId="1A4404B8" w14:textId="77777777" w:rsidR="00A408CE" w:rsidRPr="00D53B6D" w:rsidRDefault="00A408CE" w:rsidP="00161AB5">
      <w:pPr>
        <w:pStyle w:val="BulletsLevel1"/>
        <w:rPr>
          <w:sz w:val="20"/>
        </w:rPr>
      </w:pPr>
      <w:r w:rsidRPr="00D53B6D">
        <w:rPr>
          <w:sz w:val="20"/>
        </w:rPr>
        <w:t xml:space="preserve">IT operations can now do preemptive patching, backup restore validation, Dev/Test, Business Continuity/DR </w:t>
      </w:r>
    </w:p>
    <w:p w14:paraId="3E75CC74" w14:textId="77777777" w:rsidR="00A408CE" w:rsidRPr="00D53B6D" w:rsidRDefault="00A408CE" w:rsidP="00161AB5">
      <w:pPr>
        <w:pStyle w:val="BulletsLevel1"/>
        <w:rPr>
          <w:sz w:val="20"/>
        </w:rPr>
      </w:pPr>
      <w:r w:rsidRPr="00D53B6D">
        <w:rPr>
          <w:sz w:val="20"/>
        </w:rPr>
        <w:t>Finance / Analytics</w:t>
      </w:r>
    </w:p>
    <w:p w14:paraId="48314E2A" w14:textId="16697CFB" w:rsidR="00A408CE" w:rsidRDefault="00A408CE" w:rsidP="00161AB5">
      <w:pPr>
        <w:pStyle w:val="BulletsLevel1"/>
        <w:rPr>
          <w:sz w:val="20"/>
        </w:rPr>
      </w:pPr>
      <w:r w:rsidRPr="00D53B6D">
        <w:rPr>
          <w:sz w:val="20"/>
        </w:rPr>
        <w:t>HR / Legal for compliance and training purposes</w:t>
      </w:r>
    </w:p>
    <w:p w14:paraId="67EC58D6" w14:textId="77777777" w:rsidR="00D2362D" w:rsidRPr="00D2362D" w:rsidRDefault="00D2362D" w:rsidP="00D2362D">
      <w:pPr>
        <w:pStyle w:val="FSBodycopyblacklight"/>
        <w:rPr>
          <w:rFonts w:ascii="Fujitsu Infinity Pro" w:hAnsi="Fujitsu Infinity Pro"/>
          <w:sz w:val="8"/>
          <w:szCs w:val="8"/>
          <w:lang w:val="en-US" w:eastAsia="ja-JP"/>
        </w:rPr>
      </w:pPr>
    </w:p>
    <w:p w14:paraId="5CAFB9AA" w14:textId="7EF6E939" w:rsidR="00D2362D" w:rsidRDefault="00D2362D" w:rsidP="00F31DB7">
      <w:pPr>
        <w:pStyle w:val="FSBodycopyblacklight"/>
        <w:rPr>
          <w:rFonts w:ascii="Fujitsu Infinity Pro" w:hAnsi="Fujitsu Infinity Pro"/>
          <w:sz w:val="20"/>
          <w:lang w:val="en-US" w:eastAsia="ja-JP"/>
        </w:rPr>
      </w:pPr>
      <w:r w:rsidRPr="009B7F03">
        <w:rPr>
          <w:rFonts w:ascii="Fujitsu Infinity Pro" w:hAnsi="Fujitsu Infinity Pro"/>
          <w:sz w:val="20"/>
          <w:lang w:val="en-US" w:eastAsia="ja-JP"/>
        </w:rPr>
        <w:t xml:space="preserve">Not stealing away any of the primary storage resources, not suppressing any latencies, not having the risk of </w:t>
      </w:r>
      <w:r w:rsidR="00161AB5" w:rsidRPr="009B7F03">
        <w:rPr>
          <w:rFonts w:ascii="Fujitsu Infinity Pro" w:hAnsi="Fujitsu Infinity Pro"/>
          <w:sz w:val="20"/>
          <w:lang w:val="en-US" w:eastAsia="ja-JP"/>
        </w:rPr>
        <w:t>corrupting,</w:t>
      </w:r>
      <w:r w:rsidRPr="009B7F03">
        <w:rPr>
          <w:rFonts w:ascii="Fujitsu Infinity Pro" w:hAnsi="Fujitsu Infinity Pro"/>
          <w:sz w:val="20"/>
          <w:lang w:val="en-US" w:eastAsia="ja-JP"/>
        </w:rPr>
        <w:t xml:space="preserve"> or even deleting actual data or the data they rely on, the backups itself. </w:t>
      </w:r>
    </w:p>
    <w:p w14:paraId="194A16B6" w14:textId="77777777" w:rsidR="0025694D" w:rsidRDefault="0025694D" w:rsidP="00F31DB7">
      <w:pPr>
        <w:pStyle w:val="FSBodycopyblacklight"/>
        <w:rPr>
          <w:rFonts w:ascii="Fujitsu Infinity Pro" w:hAnsi="Fujitsu Infinity Pro"/>
          <w:sz w:val="20"/>
          <w:lang w:val="en-US" w:eastAsia="ja-JP"/>
        </w:rPr>
      </w:pPr>
    </w:p>
    <w:p w14:paraId="2AD14350" w14:textId="77777777" w:rsidR="00F31DB7" w:rsidRPr="00D53B6D" w:rsidRDefault="00F31DB7" w:rsidP="00F31DB7">
      <w:pPr>
        <w:pStyle w:val="FSBodycopyBullet1"/>
        <w:numPr>
          <w:ilvl w:val="0"/>
          <w:numId w:val="0"/>
        </w:numPr>
        <w:ind w:left="227" w:hanging="227"/>
        <w:rPr>
          <w:rFonts w:ascii="Fujitsu Infinity Pro Bold" w:eastAsia="MS PGothic" w:hAnsi="Fujitsu Infinity Pro Bold"/>
          <w:sz w:val="20"/>
          <w:lang w:val="en-US"/>
        </w:rPr>
      </w:pPr>
      <w:r w:rsidRPr="0025694D">
        <w:rPr>
          <w:rFonts w:ascii="Fujitsu Infinity Pro Bold" w:eastAsia="MS PGothic" w:hAnsi="Fujitsu Infinity Pro Bold"/>
          <w:sz w:val="20"/>
          <w:lang w:val="en-US"/>
        </w:rPr>
        <w:t>Veeam is the inventor of agentless backups</w:t>
      </w:r>
    </w:p>
    <w:p w14:paraId="3CE66F23" w14:textId="50C8F10E" w:rsidR="00F31DB7" w:rsidRDefault="00F31DB7" w:rsidP="00F31DB7">
      <w:pPr>
        <w:pStyle w:val="FSBodycopyblacklight"/>
        <w:rPr>
          <w:rFonts w:ascii="Fujitsu Infinity Pro" w:hAnsi="Fujitsu Infinity Pro"/>
          <w:sz w:val="20"/>
          <w:lang w:val="en-US"/>
        </w:rPr>
      </w:pPr>
      <w:r w:rsidRPr="00D53B6D">
        <w:rPr>
          <w:rFonts w:ascii="Fujitsu Infinity Pro" w:hAnsi="Fujitsu Infinity Pro"/>
          <w:sz w:val="20"/>
          <w:lang w:val="en-US"/>
        </w:rPr>
        <w:t xml:space="preserve">Coming back to the “normal” everyday task of protecting data assets: It is still remarkable how proud Veeam technicians emphasize that this epochal innovation was able to reshape the market landscape for data protection software. The classic approach to install </w:t>
      </w:r>
      <w:r w:rsidR="0098382F">
        <w:rPr>
          <w:rFonts w:ascii="Fujitsu Infinity Pro" w:hAnsi="Fujitsu Infinity Pro"/>
          <w:sz w:val="20"/>
          <w:lang w:val="en-US"/>
        </w:rPr>
        <w:t>b</w:t>
      </w:r>
      <w:r w:rsidRPr="00D53B6D">
        <w:rPr>
          <w:rFonts w:ascii="Fujitsu Infinity Pro" w:hAnsi="Fujitsu Infinity Pro"/>
          <w:sz w:val="20"/>
          <w:lang w:val="en-US"/>
        </w:rPr>
        <w:t xml:space="preserve">ackup agents in every server-instance was maybe practical in the pre-era of virtualization but was representing a major burden for data protection admins in the time of VM sprawl. Veeam made it clear that another approach needed to come to life: </w:t>
      </w:r>
      <w:r w:rsidR="0098382F">
        <w:rPr>
          <w:rFonts w:ascii="Fujitsu Infinity Pro" w:hAnsi="Fujitsu Infinity Pro"/>
          <w:sz w:val="20"/>
          <w:lang w:val="en-US"/>
        </w:rPr>
        <w:t>t</w:t>
      </w:r>
      <w:r w:rsidRPr="00D53B6D">
        <w:rPr>
          <w:rFonts w:ascii="Fujitsu Infinity Pro" w:hAnsi="Fujitsu Infinity Pro"/>
          <w:sz w:val="20"/>
          <w:lang w:val="en-US"/>
        </w:rPr>
        <w:t xml:space="preserve">he </w:t>
      </w:r>
      <w:r w:rsidR="0098382F">
        <w:rPr>
          <w:rFonts w:ascii="Fujitsu Infinity Pro" w:hAnsi="Fujitsu Infinity Pro"/>
          <w:sz w:val="20"/>
          <w:lang w:val="en-US"/>
        </w:rPr>
        <w:t>a</w:t>
      </w:r>
      <w:r w:rsidRPr="00D53B6D">
        <w:rPr>
          <w:rFonts w:ascii="Fujitsu Infinity Pro" w:hAnsi="Fujitsu Infinity Pro"/>
          <w:sz w:val="20"/>
          <w:lang w:val="en-US"/>
        </w:rPr>
        <w:t>gentless-</w:t>
      </w:r>
      <w:r w:rsidR="0098382F">
        <w:rPr>
          <w:rFonts w:ascii="Fujitsu Infinity Pro" w:hAnsi="Fujitsu Infinity Pro"/>
          <w:sz w:val="20"/>
          <w:lang w:val="en-US"/>
        </w:rPr>
        <w:t>b</w:t>
      </w:r>
      <w:r w:rsidRPr="00D53B6D">
        <w:rPr>
          <w:rFonts w:ascii="Fujitsu Infinity Pro" w:hAnsi="Fujitsu Infinity Pro"/>
          <w:sz w:val="20"/>
          <w:lang w:val="en-US"/>
        </w:rPr>
        <w:t xml:space="preserve">ackup for virtual machines. Veeam’s consequent aim was and is to enable the backup admin to manage every task through the main GUI of Veeam Backup &amp; Replication™. The IT administrator does not have go to a certain VM and install a plug-in into a database or application stack. The only environments where backup agents still need to be installed are Oracle RMAN and SAP </w:t>
      </w:r>
      <w:proofErr w:type="spellStart"/>
      <w:r w:rsidRPr="00D53B6D">
        <w:rPr>
          <w:rFonts w:ascii="Fujitsu Infinity Pro" w:hAnsi="Fujitsu Infinity Pro"/>
          <w:sz w:val="20"/>
          <w:lang w:val="en-US"/>
        </w:rPr>
        <w:t>backint</w:t>
      </w:r>
      <w:proofErr w:type="spellEnd"/>
      <w:r w:rsidRPr="00D53B6D">
        <w:rPr>
          <w:rFonts w:ascii="Fujitsu Infinity Pro" w:hAnsi="Fujitsu Infinity Pro"/>
          <w:sz w:val="20"/>
          <w:lang w:val="en-US"/>
        </w:rPr>
        <w:t xml:space="preserve"> – either way, running physical or virtualized.</w:t>
      </w:r>
      <w:r w:rsidR="00E73F2E">
        <w:rPr>
          <w:rFonts w:ascii="Fujitsu Infinity Pro" w:hAnsi="Fujitsu Infinity Pro"/>
          <w:sz w:val="20"/>
          <w:lang w:val="en-US"/>
        </w:rPr>
        <w:t xml:space="preserve"> </w:t>
      </w:r>
      <w:r w:rsidRPr="00D53B6D">
        <w:rPr>
          <w:rFonts w:ascii="Fujitsu Infinity Pro" w:hAnsi="Fujitsu Infinity Pro"/>
          <w:sz w:val="20"/>
          <w:lang w:val="en-US"/>
        </w:rPr>
        <w:t>Imagine, what this epochal innovation would mean for rolling out and maintaining your complete backup environment.</w:t>
      </w:r>
    </w:p>
    <w:p w14:paraId="7B4E5C50" w14:textId="77777777" w:rsidR="00194EBE" w:rsidRPr="00D53B6D" w:rsidRDefault="00194EBE" w:rsidP="00F31DB7">
      <w:pPr>
        <w:pStyle w:val="FSBodycopyblacklight"/>
        <w:rPr>
          <w:rFonts w:ascii="Fujitsu Infinity Pro" w:hAnsi="Fujitsu Infinity Pro"/>
          <w:sz w:val="20"/>
          <w:lang w:val="en-US"/>
        </w:rPr>
      </w:pPr>
    </w:p>
    <w:p w14:paraId="6F426D46" w14:textId="77777777" w:rsidR="00F31DB7" w:rsidRPr="00D53B6D" w:rsidRDefault="00F31DB7" w:rsidP="00F31DB7">
      <w:pPr>
        <w:pStyle w:val="FSBodycopyBullet1"/>
        <w:numPr>
          <w:ilvl w:val="0"/>
          <w:numId w:val="0"/>
        </w:numPr>
        <w:ind w:left="227" w:hanging="227"/>
        <w:rPr>
          <w:rFonts w:ascii="Fujitsu Infinity Pro Bold" w:eastAsia="MS PGothic" w:hAnsi="Fujitsu Infinity Pro Bold"/>
          <w:sz w:val="20"/>
          <w:lang w:val="en-US"/>
        </w:rPr>
      </w:pPr>
      <w:r w:rsidRPr="00D53B6D">
        <w:rPr>
          <w:rFonts w:ascii="Fujitsu Infinity Pro Bold" w:eastAsia="MS PGothic" w:hAnsi="Fujitsu Infinity Pro Bold"/>
          <w:sz w:val="20"/>
          <w:lang w:val="en-US"/>
        </w:rPr>
        <w:lastRenderedPageBreak/>
        <w:t>Veeam is pushing the envelope for maximum flexibility</w:t>
      </w:r>
    </w:p>
    <w:p w14:paraId="2DF4FE6C" w14:textId="57DD49C2" w:rsidR="00F31DB7" w:rsidRDefault="00F31DB7" w:rsidP="00194EBE">
      <w:pPr>
        <w:pStyle w:val="FSBodycopyblacklight"/>
        <w:rPr>
          <w:rFonts w:ascii="Fujitsu Infinity Pro" w:hAnsi="Fujitsu Infinity Pro"/>
          <w:sz w:val="20"/>
          <w:lang w:val="en-US"/>
        </w:rPr>
      </w:pPr>
      <w:r w:rsidRPr="00D53B6D">
        <w:rPr>
          <w:rFonts w:ascii="Fujitsu Infinity Pro" w:hAnsi="Fujitsu Infinity Pro"/>
          <w:sz w:val="20"/>
          <w:lang w:val="en-US"/>
        </w:rPr>
        <w:t xml:space="preserve">Investing into a Fujitsu Integrated System PRIMEFLEX gives you the peace of mind to be able to consolidate all your VMs and containers on a single CI/HCI platform. The vertical, software-defined software stacks of Nutanix, VMware and Microsoft offer the support for virtualized Windows and Linux instances and enable mobility of these VMs/Containers (and their connected data) into the cloud. What Veeam is enabling you to do, as an example, is to back up a cloud-run VMware </w:t>
      </w:r>
      <w:proofErr w:type="spellStart"/>
      <w:r w:rsidRPr="00D53B6D">
        <w:rPr>
          <w:rFonts w:ascii="Fujitsu Infinity Pro" w:hAnsi="Fujitsu Infinity Pro"/>
          <w:sz w:val="20"/>
          <w:lang w:val="en-US"/>
        </w:rPr>
        <w:t>ESXi</w:t>
      </w:r>
      <w:proofErr w:type="spellEnd"/>
      <w:r w:rsidRPr="00D53B6D">
        <w:rPr>
          <w:rFonts w:ascii="Fujitsu Infinity Pro" w:hAnsi="Fujitsu Infinity Pro"/>
          <w:sz w:val="20"/>
          <w:lang w:val="en-US"/>
        </w:rPr>
        <w:t xml:space="preserve"> based VM and recover it </w:t>
      </w:r>
      <w:r w:rsidR="00BB753A" w:rsidRPr="00D53B6D">
        <w:rPr>
          <w:rFonts w:ascii="Fujitsu Infinity Pro" w:hAnsi="Fujitsu Infinity Pro"/>
          <w:sz w:val="20"/>
          <w:lang w:val="en-US"/>
        </w:rPr>
        <w:t>on-premises</w:t>
      </w:r>
      <w:r w:rsidRPr="00D53B6D">
        <w:rPr>
          <w:rFonts w:ascii="Fujitsu Infinity Pro" w:hAnsi="Fujitsu Infinity Pro"/>
          <w:sz w:val="20"/>
          <w:lang w:val="en-US"/>
        </w:rPr>
        <w:t xml:space="preserve"> on a PRIMEFLEX for Microsoft Azure Stack HCI cluster – running solely on Hyper-V. This cross-platform restore capability sets a new bar for flexibility in daily backup operations.</w:t>
      </w:r>
    </w:p>
    <w:p w14:paraId="78B86C81" w14:textId="77777777" w:rsidR="00194EBE" w:rsidRPr="00F7227D" w:rsidRDefault="00194EBE" w:rsidP="00194EBE">
      <w:pPr>
        <w:pStyle w:val="FSBodycopyblacklight"/>
        <w:rPr>
          <w:rFonts w:ascii="Fujitsu Infinity Pro" w:hAnsi="Fujitsu Infinity Pro"/>
          <w:sz w:val="26"/>
          <w:szCs w:val="26"/>
          <w:lang w:val="en-US"/>
        </w:rPr>
      </w:pPr>
    </w:p>
    <w:p w14:paraId="24415ABF" w14:textId="5AC8906D" w:rsidR="00230E0D" w:rsidRDefault="00B20B36" w:rsidP="00F213C2">
      <w:pPr>
        <w:pStyle w:val="Heading1"/>
        <w:rPr>
          <w:sz w:val="26"/>
          <w:szCs w:val="26"/>
        </w:rPr>
      </w:pPr>
      <w:bookmarkStart w:id="5" w:name="_Toc115389250"/>
      <w:r>
        <w:rPr>
          <w:sz w:val="26"/>
          <w:szCs w:val="26"/>
        </w:rPr>
        <w:t>What makes Veeam a perfect fit for converged infrastructure solutions?</w:t>
      </w:r>
      <w:bookmarkEnd w:id="5"/>
    </w:p>
    <w:p w14:paraId="46BCFEA9" w14:textId="093F5E70" w:rsidR="0000297F" w:rsidRPr="00D55087" w:rsidRDefault="0000297F" w:rsidP="0000297F">
      <w:pPr>
        <w:spacing w:after="0"/>
        <w:rPr>
          <w:rFonts w:ascii="Fujitsu Infinity Pro Bold" w:hAnsi="Fujitsu Infinity Pro Bold"/>
          <w:sz w:val="20"/>
        </w:rPr>
      </w:pPr>
      <w:r w:rsidRPr="00D55087">
        <w:rPr>
          <w:rFonts w:ascii="Fujitsu Infinity Pro Bold" w:hAnsi="Fujitsu Infinity Pro Bold"/>
          <w:sz w:val="20"/>
        </w:rPr>
        <w:t>PRIMEFLEX for VMware vSphere</w:t>
      </w:r>
      <w:r w:rsidR="0025694D">
        <w:rPr>
          <w:rFonts w:ascii="Fujitsu Infinity Pro Bold" w:hAnsi="Fujitsu Infinity Pro Bold"/>
          <w:sz w:val="20"/>
        </w:rPr>
        <w:t xml:space="preserve"> provides a fa</w:t>
      </w:r>
      <w:r w:rsidR="00CA7D6A">
        <w:rPr>
          <w:rFonts w:ascii="Fujitsu Infinity Pro Bold" w:hAnsi="Fujitsu Infinity Pro Bold"/>
          <w:sz w:val="20"/>
        </w:rPr>
        <w:t>s</w:t>
      </w:r>
      <w:r w:rsidR="0025694D">
        <w:rPr>
          <w:rFonts w:ascii="Fujitsu Infinity Pro Bold" w:hAnsi="Fujitsu Infinity Pro Bold"/>
          <w:sz w:val="20"/>
        </w:rPr>
        <w:t xml:space="preserve">t track to </w:t>
      </w:r>
      <w:r w:rsidR="00CA7D6A">
        <w:rPr>
          <w:rFonts w:ascii="Fujitsu Infinity Pro Bold" w:hAnsi="Fujitsu Infinity Pro Bold"/>
          <w:sz w:val="20"/>
        </w:rPr>
        <w:t>production</w:t>
      </w:r>
      <w:r w:rsidR="0025694D">
        <w:rPr>
          <w:rFonts w:ascii="Fujitsu Infinity Pro Bold" w:hAnsi="Fujitsu Infinity Pro Bold"/>
          <w:sz w:val="20"/>
        </w:rPr>
        <w:t xml:space="preserve"> </w:t>
      </w:r>
    </w:p>
    <w:p w14:paraId="5B8285AA" w14:textId="46978964" w:rsidR="0000297F" w:rsidRPr="00D55087" w:rsidRDefault="0000297F" w:rsidP="0000297F">
      <w:pPr>
        <w:spacing w:after="0"/>
        <w:rPr>
          <w:sz w:val="20"/>
        </w:rPr>
      </w:pPr>
      <w:r w:rsidRPr="00D55087">
        <w:rPr>
          <w:sz w:val="20"/>
        </w:rPr>
        <w:t xml:space="preserve">The converged solution is a fully pre-configured, pre-tested and validated package of best-in-class hardware, software, integration and support services from </w:t>
      </w:r>
      <w:r w:rsidR="00D04349">
        <w:rPr>
          <w:sz w:val="20"/>
        </w:rPr>
        <w:t>Fujitsu</w:t>
      </w:r>
      <w:r w:rsidRPr="00D55087">
        <w:rPr>
          <w:sz w:val="20"/>
        </w:rPr>
        <w:t xml:space="preserve">. It is designed to provide a fast track to maximum IT performance and agility while also reducing complexity for VMware-based virtual infrastructures. The solution gives businesses full flexibility to scale compute and storage performance independently according to changing requirements, all within a self-contained, ready-to-run solution. Inside, Fujitsu PRIMEFLEX for VMware vSphere combines the latest </w:t>
      </w:r>
      <w:hyperlink r:id="rId21" w:tgtFrame="_blank" w:tooltip="PRIMERGY Rack Servers Overview" w:history="1">
        <w:r w:rsidRPr="00D55087">
          <w:rPr>
            <w:rStyle w:val="Hyperlink"/>
            <w:sz w:val="20"/>
          </w:rPr>
          <w:t>Fujitsu PRIMERGY RX dual-socket servers</w:t>
        </w:r>
      </w:hyperlink>
      <w:r w:rsidRPr="00D55087">
        <w:rPr>
          <w:sz w:val="20"/>
        </w:rPr>
        <w:t xml:space="preserve"> with a choice of either </w:t>
      </w:r>
      <w:hyperlink r:id="rId22" w:history="1">
        <w:r w:rsidRPr="00D55087">
          <w:rPr>
            <w:rStyle w:val="Hyperlink"/>
            <w:sz w:val="20"/>
          </w:rPr>
          <w:t>Fujitsu ETERNUS AF all-flash or ETERNUS DX hybrid storage</w:t>
        </w:r>
      </w:hyperlink>
      <w:r w:rsidRPr="00D55087">
        <w:rPr>
          <w:sz w:val="20"/>
        </w:rPr>
        <w:t>.</w:t>
      </w:r>
    </w:p>
    <w:p w14:paraId="7D24DFCE" w14:textId="77777777" w:rsidR="0025694D" w:rsidRDefault="0025694D" w:rsidP="0000297F">
      <w:pPr>
        <w:spacing w:after="0"/>
        <w:rPr>
          <w:rFonts w:ascii="Fujitsu Infinity Pro Bold" w:hAnsi="Fujitsu Infinity Pro Bold"/>
          <w:sz w:val="20"/>
        </w:rPr>
      </w:pPr>
    </w:p>
    <w:p w14:paraId="1BC21417" w14:textId="6035B5A1" w:rsidR="0000297F" w:rsidRPr="00D55087" w:rsidRDefault="0000297F" w:rsidP="0000297F">
      <w:pPr>
        <w:spacing w:after="0"/>
        <w:rPr>
          <w:rFonts w:ascii="Fujitsu Infinity Pro Bold" w:hAnsi="Fujitsu Infinity Pro Bold"/>
          <w:sz w:val="20"/>
        </w:rPr>
      </w:pPr>
      <w:r w:rsidRPr="00D55087">
        <w:rPr>
          <w:rFonts w:ascii="Fujitsu Infinity Pro Bold" w:hAnsi="Fujitsu Infinity Pro Bold"/>
          <w:sz w:val="20"/>
        </w:rPr>
        <w:t xml:space="preserve">How </w:t>
      </w:r>
      <w:r w:rsidR="0025694D">
        <w:rPr>
          <w:rFonts w:ascii="Fujitsu Infinity Pro Bold" w:hAnsi="Fujitsu Infinity Pro Bold"/>
          <w:sz w:val="20"/>
        </w:rPr>
        <w:t xml:space="preserve">is the integration of </w:t>
      </w:r>
      <w:r w:rsidRPr="00D55087">
        <w:rPr>
          <w:rFonts w:ascii="Fujitsu Infinity Pro Bold" w:hAnsi="Fujitsu Infinity Pro Bold"/>
          <w:sz w:val="20"/>
        </w:rPr>
        <w:t xml:space="preserve">Veeam Software with Fujitsu ETERNUS </w:t>
      </w:r>
      <w:r w:rsidR="0025694D">
        <w:rPr>
          <w:rFonts w:ascii="Fujitsu Infinity Pro Bold" w:hAnsi="Fujitsu Infinity Pro Bold"/>
          <w:sz w:val="20"/>
        </w:rPr>
        <w:t>d</w:t>
      </w:r>
      <w:r w:rsidRPr="00D55087">
        <w:rPr>
          <w:rFonts w:ascii="Fujitsu Infinity Pro Bold" w:hAnsi="Fujitsu Infinity Pro Bold"/>
          <w:sz w:val="20"/>
        </w:rPr>
        <w:t xml:space="preserve">ata </w:t>
      </w:r>
      <w:r w:rsidR="0025694D">
        <w:rPr>
          <w:rFonts w:ascii="Fujitsu Infinity Pro Bold" w:hAnsi="Fujitsu Infinity Pro Bold"/>
          <w:sz w:val="20"/>
        </w:rPr>
        <w:t>p</w:t>
      </w:r>
      <w:r w:rsidRPr="00D55087">
        <w:rPr>
          <w:rFonts w:ascii="Fujitsu Infinity Pro Bold" w:hAnsi="Fujitsu Infinity Pro Bold"/>
          <w:sz w:val="20"/>
        </w:rPr>
        <w:t>rotection</w:t>
      </w:r>
      <w:r w:rsidR="0025694D">
        <w:rPr>
          <w:rFonts w:ascii="Fujitsu Infinity Pro Bold" w:hAnsi="Fujitsu Infinity Pro Bold"/>
          <w:sz w:val="20"/>
        </w:rPr>
        <w:t xml:space="preserve"> </w:t>
      </w:r>
      <w:r w:rsidR="00CA7D6A">
        <w:rPr>
          <w:rFonts w:ascii="Fujitsu Infinity Pro Bold" w:hAnsi="Fujitsu Infinity Pro Bold"/>
          <w:sz w:val="20"/>
        </w:rPr>
        <w:t>solutions?</w:t>
      </w:r>
    </w:p>
    <w:p w14:paraId="7F896DA6" w14:textId="3FB3C25C" w:rsidR="0000297F" w:rsidRDefault="005930F3" w:rsidP="0000297F">
      <w:pPr>
        <w:spacing w:after="0"/>
        <w:rPr>
          <w:sz w:val="20"/>
        </w:rPr>
      </w:pPr>
      <w:r>
        <w:rPr>
          <w:noProof/>
          <w:snapToGrid/>
          <w:sz w:val="20"/>
        </w:rPr>
        <mc:AlternateContent>
          <mc:Choice Requires="wps">
            <w:drawing>
              <wp:anchor distT="0" distB="0" distL="114300" distR="114300" simplePos="0" relativeHeight="251682304" behindDoc="0" locked="0" layoutInCell="1" allowOverlap="1" wp14:anchorId="6E340E46" wp14:editId="2903F64B">
                <wp:simplePos x="0" y="0"/>
                <wp:positionH relativeFrom="column">
                  <wp:posOffset>5875207</wp:posOffset>
                </wp:positionH>
                <wp:positionV relativeFrom="paragraph">
                  <wp:posOffset>4219765</wp:posOffset>
                </wp:positionV>
                <wp:extent cx="836162" cy="146695"/>
                <wp:effectExtent l="0" t="0" r="2540" b="5715"/>
                <wp:wrapNone/>
                <wp:docPr id="3" name="Rectangle 3"/>
                <wp:cNvGraphicFramePr/>
                <a:graphic xmlns:a="http://schemas.openxmlformats.org/drawingml/2006/main">
                  <a:graphicData uri="http://schemas.microsoft.com/office/word/2010/wordprocessingShape">
                    <wps:wsp>
                      <wps:cNvSpPr/>
                      <wps:spPr>
                        <a:xfrm>
                          <a:off x="0" y="0"/>
                          <a:ext cx="836162" cy="14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C9902" id="Rectangle 3" o:spid="_x0000_s1026" style="position:absolute;margin-left:462.6pt;margin-top:332.25pt;width:65.85pt;height:11.5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" fillcolor="white [3212]" stroked="f" strokeweight="2pt"/>
            </w:pict>
          </mc:Fallback>
        </mc:AlternateContent>
      </w:r>
      <w:r w:rsidR="0088174E">
        <w:rPr>
          <w:noProof/>
          <w:snapToGrid/>
          <w:sz w:val="20"/>
        </w:rPr>
        <w:drawing>
          <wp:anchor distT="0" distB="0" distL="114300" distR="114300" simplePos="0" relativeHeight="251657728" behindDoc="0" locked="0" layoutInCell="1" allowOverlap="1" wp14:anchorId="44342169" wp14:editId="594004A4">
            <wp:simplePos x="0" y="0"/>
            <wp:positionH relativeFrom="column">
              <wp:posOffset>-76200</wp:posOffset>
            </wp:positionH>
            <wp:positionV relativeFrom="paragraph">
              <wp:posOffset>1099820</wp:posOffset>
            </wp:positionV>
            <wp:extent cx="6659245" cy="3207385"/>
            <wp:effectExtent l="0" t="0" r="8255" b="0"/>
            <wp:wrapSquare wrapText="bothSides"/>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2743"/>
                    <a:stretch/>
                  </pic:blipFill>
                  <pic:spPr bwMode="auto">
                    <a:xfrm>
                      <a:off x="0" y="0"/>
                      <a:ext cx="6659245" cy="320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97F" w:rsidRPr="00D55087">
        <w:rPr>
          <w:sz w:val="20"/>
        </w:rPr>
        <w:t>With the availability of the Veeam storage snapshot plug-in for Fujitsu ETERNUS AF all-flash and ETERNUS DX hybrid storage, customers can create complete VM backups and replicas from snapshots as often as they like, with little to no impact on their production environment. This advanced data protection capability bridges the gap between critical recovery point objective (RPO) and recovery time objective (RTO) storage targets. Fujitsu ETERNUS storage can also be used as a high-speed target for backup of virtual machines, not to mention the backup capabilities into physical tape and cloud environments.</w:t>
      </w:r>
    </w:p>
    <w:p w14:paraId="46D96ECE" w14:textId="2C2B6800" w:rsidR="00AF7509" w:rsidRPr="00EC4136" w:rsidRDefault="00AF7509" w:rsidP="00AF7509">
      <w:pPr>
        <w:pStyle w:val="Caption"/>
        <w:rPr>
          <w:color w:val="auto"/>
          <w:sz w:val="20"/>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2</w:t>
      </w:r>
      <w:r w:rsidRPr="00EC4136">
        <w:rPr>
          <w:color w:val="auto"/>
        </w:rPr>
        <w:fldChar w:fldCharType="end"/>
      </w:r>
      <w:r w:rsidRPr="00EC4136">
        <w:rPr>
          <w:color w:val="auto"/>
        </w:rPr>
        <w:t>: Integration of Veeam Software</w:t>
      </w:r>
    </w:p>
    <w:p w14:paraId="2CA579C6" w14:textId="77777777" w:rsidR="00AF7509" w:rsidRPr="00D55087" w:rsidRDefault="00AF7509" w:rsidP="0000297F">
      <w:pPr>
        <w:spacing w:after="0"/>
        <w:rPr>
          <w:sz w:val="20"/>
        </w:rPr>
      </w:pPr>
    </w:p>
    <w:p w14:paraId="56407B74" w14:textId="1E6E25D8" w:rsidR="0000297F" w:rsidRPr="00D55087" w:rsidRDefault="0000297F" w:rsidP="0000297F">
      <w:pPr>
        <w:spacing w:after="0"/>
        <w:rPr>
          <w:sz w:val="20"/>
        </w:rPr>
      </w:pPr>
    </w:p>
    <w:p w14:paraId="02CCFE9D" w14:textId="0B424145" w:rsidR="0000297F" w:rsidRPr="00D55087" w:rsidRDefault="0000297F" w:rsidP="0000297F">
      <w:pPr>
        <w:spacing w:after="0"/>
        <w:rPr>
          <w:rFonts w:ascii="Fujitsu Infinity Pro Bold" w:hAnsi="Fujitsu Infinity Pro Bold"/>
          <w:sz w:val="20"/>
        </w:rPr>
      </w:pPr>
      <w:r w:rsidRPr="00D55087">
        <w:rPr>
          <w:rFonts w:ascii="Fujitsu Infinity Pro Bold" w:hAnsi="Fujitsu Infinity Pro Bold"/>
          <w:sz w:val="20"/>
        </w:rPr>
        <w:lastRenderedPageBreak/>
        <w:t xml:space="preserve">Veeam </w:t>
      </w:r>
      <w:r w:rsidR="00CA7D6A">
        <w:rPr>
          <w:rFonts w:ascii="Fujitsu Infinity Pro Bold" w:hAnsi="Fujitsu Infinity Pro Bold"/>
          <w:sz w:val="20"/>
        </w:rPr>
        <w:t>has strong c</w:t>
      </w:r>
      <w:r w:rsidRPr="00D55087">
        <w:rPr>
          <w:rFonts w:ascii="Fujitsu Infinity Pro Bold" w:hAnsi="Fujitsu Infinity Pro Bold"/>
          <w:sz w:val="20"/>
        </w:rPr>
        <w:t xml:space="preserve">loud </w:t>
      </w:r>
      <w:r w:rsidR="00CA7D6A">
        <w:rPr>
          <w:rFonts w:ascii="Fujitsu Infinity Pro Bold" w:hAnsi="Fujitsu Infinity Pro Bold"/>
          <w:sz w:val="20"/>
        </w:rPr>
        <w:t>c</w:t>
      </w:r>
      <w:r w:rsidRPr="00D55087">
        <w:rPr>
          <w:rFonts w:ascii="Fujitsu Infinity Pro Bold" w:hAnsi="Fujitsu Infinity Pro Bold"/>
          <w:sz w:val="20"/>
        </w:rPr>
        <w:t>ompetencies</w:t>
      </w:r>
    </w:p>
    <w:p w14:paraId="0D508EFA" w14:textId="0BFBEB0B" w:rsidR="0000297F" w:rsidRPr="00D55087" w:rsidRDefault="0000297F" w:rsidP="0000297F">
      <w:pPr>
        <w:rPr>
          <w:sz w:val="20"/>
        </w:rPr>
      </w:pPr>
      <w:r w:rsidRPr="00D55087">
        <w:rPr>
          <w:sz w:val="20"/>
        </w:rPr>
        <w:t xml:space="preserve">Based on the hybrid capabilities you have now gained with implementing a PRIMEFLEX Integrated System, it would be a shame not to mention the attractive possibility to integrate </w:t>
      </w:r>
      <w:r w:rsidR="00CA7D6A">
        <w:rPr>
          <w:sz w:val="20"/>
        </w:rPr>
        <w:t>p</w:t>
      </w:r>
      <w:r w:rsidRPr="00D55087">
        <w:rPr>
          <w:sz w:val="20"/>
        </w:rPr>
        <w:t xml:space="preserve">ublic </w:t>
      </w:r>
      <w:r w:rsidR="00CA7D6A">
        <w:rPr>
          <w:sz w:val="20"/>
        </w:rPr>
        <w:t>c</w:t>
      </w:r>
      <w:r w:rsidRPr="00D55087">
        <w:rPr>
          <w:sz w:val="20"/>
        </w:rPr>
        <w:t xml:space="preserve">loud offerings into your data protection strategy. This can be </w:t>
      </w:r>
      <w:r w:rsidR="00CA7D6A">
        <w:rPr>
          <w:sz w:val="20"/>
        </w:rPr>
        <w:t>d</w:t>
      </w:r>
      <w:r w:rsidRPr="00D55087">
        <w:rPr>
          <w:sz w:val="20"/>
        </w:rPr>
        <w:t xml:space="preserve">isaster </w:t>
      </w:r>
      <w:r w:rsidR="00CA7D6A">
        <w:rPr>
          <w:sz w:val="20"/>
        </w:rPr>
        <w:t>r</w:t>
      </w:r>
      <w:r w:rsidRPr="00D55087">
        <w:rPr>
          <w:sz w:val="20"/>
        </w:rPr>
        <w:t xml:space="preserve">ecovery, </w:t>
      </w:r>
      <w:r w:rsidR="00CA7D6A">
        <w:rPr>
          <w:sz w:val="20"/>
        </w:rPr>
        <w:t>c</w:t>
      </w:r>
      <w:r w:rsidRPr="00D55087">
        <w:rPr>
          <w:sz w:val="20"/>
        </w:rPr>
        <w:t xml:space="preserve">old </w:t>
      </w:r>
      <w:r w:rsidR="00CA7D6A">
        <w:rPr>
          <w:sz w:val="20"/>
        </w:rPr>
        <w:t>s</w:t>
      </w:r>
      <w:r w:rsidRPr="00D55087">
        <w:rPr>
          <w:sz w:val="20"/>
        </w:rPr>
        <w:t xml:space="preserve">torage requirements or S3 </w:t>
      </w:r>
      <w:r w:rsidR="00CA7D6A">
        <w:rPr>
          <w:sz w:val="20"/>
        </w:rPr>
        <w:t>o</w:t>
      </w:r>
      <w:r w:rsidRPr="00D55087">
        <w:rPr>
          <w:sz w:val="20"/>
        </w:rPr>
        <w:t xml:space="preserve">bject </w:t>
      </w:r>
      <w:r w:rsidR="00CA7D6A">
        <w:rPr>
          <w:sz w:val="20"/>
        </w:rPr>
        <w:t>s</w:t>
      </w:r>
      <w:r w:rsidRPr="00D55087">
        <w:rPr>
          <w:sz w:val="20"/>
        </w:rPr>
        <w:t xml:space="preserve">torage </w:t>
      </w:r>
      <w:r w:rsidR="00CA7D6A">
        <w:rPr>
          <w:sz w:val="20"/>
        </w:rPr>
        <w:t>t</w:t>
      </w:r>
      <w:r w:rsidRPr="00D55087">
        <w:rPr>
          <w:sz w:val="20"/>
        </w:rPr>
        <w:t xml:space="preserve">argets. </w:t>
      </w:r>
    </w:p>
    <w:p w14:paraId="4CBD169F" w14:textId="1A86C672" w:rsidR="0000297F" w:rsidRDefault="0000297F" w:rsidP="00683CBC">
      <w:pPr>
        <w:rPr>
          <w:sz w:val="20"/>
        </w:rPr>
      </w:pPr>
      <w:r w:rsidRPr="00D55087">
        <w:rPr>
          <w:sz w:val="20"/>
        </w:rPr>
        <w:t xml:space="preserve">This common ecosystem enables data protection to begin in primary storage, which offers </w:t>
      </w:r>
      <w:r w:rsidR="00BB753A" w:rsidRPr="00D55087">
        <w:rPr>
          <w:sz w:val="20"/>
        </w:rPr>
        <w:t>several</w:t>
      </w:r>
      <w:r w:rsidRPr="00D55087">
        <w:rPr>
          <w:sz w:val="20"/>
        </w:rPr>
        <w:t xml:space="preserve"> advantages, especially for virtual environments</w:t>
      </w:r>
      <w:r w:rsidR="00CA7D6A">
        <w:rPr>
          <w:sz w:val="20"/>
        </w:rPr>
        <w:t>.</w:t>
      </w:r>
    </w:p>
    <w:p w14:paraId="749F7021" w14:textId="6B06BB95" w:rsidR="0000297F" w:rsidRPr="006C5E4E" w:rsidRDefault="0000297F" w:rsidP="0000297F">
      <w:pPr>
        <w:spacing w:after="0"/>
        <w:rPr>
          <w:sz w:val="20"/>
        </w:rPr>
      </w:pPr>
    </w:p>
    <w:p w14:paraId="239DA68A" w14:textId="4E3025BA" w:rsidR="0000297F" w:rsidRPr="00535C6B" w:rsidRDefault="00C06B1A" w:rsidP="0000297F">
      <w:pPr>
        <w:spacing w:after="0"/>
        <w:rPr>
          <w:rFonts w:ascii="Fujitsu Infinity Pro Bold" w:hAnsi="Fujitsu Infinity Pro Bold"/>
          <w:sz w:val="20"/>
        </w:rPr>
      </w:pPr>
      <w:r>
        <w:rPr>
          <w:rFonts w:ascii="Fujitsu Infinity Pro Bold" w:hAnsi="Fujitsu Infinity Pro Bold"/>
          <w:sz w:val="20"/>
        </w:rPr>
        <w:t>Accelerate Backup and Recovery with s</w:t>
      </w:r>
      <w:r w:rsidR="0000297F" w:rsidRPr="00535C6B">
        <w:rPr>
          <w:rFonts w:ascii="Fujitsu Infinity Pro Bold" w:hAnsi="Fujitsu Infinity Pro Bold"/>
          <w:sz w:val="20"/>
        </w:rPr>
        <w:t>napshots</w:t>
      </w:r>
    </w:p>
    <w:p w14:paraId="130CFAC2" w14:textId="4DCED075" w:rsidR="00C06B1A" w:rsidRPr="00C06B1A" w:rsidRDefault="00C06B1A" w:rsidP="00C06B1A">
      <w:pPr>
        <w:pStyle w:val="BulletsLevel1"/>
        <w:rPr>
          <w:sz w:val="20"/>
          <w:szCs w:val="22"/>
        </w:rPr>
      </w:pPr>
      <w:r w:rsidRPr="00C06B1A">
        <w:rPr>
          <w:sz w:val="20"/>
          <w:szCs w:val="22"/>
        </w:rPr>
        <w:t>Veeam supports hardware snapshots of Fujitsu storage arrays</w:t>
      </w:r>
    </w:p>
    <w:p w14:paraId="148EA2FE" w14:textId="7ADD337B" w:rsidR="00C06B1A" w:rsidRPr="00C06B1A" w:rsidRDefault="00C06B1A" w:rsidP="00C06B1A">
      <w:pPr>
        <w:rPr>
          <w:sz w:val="20"/>
          <w:szCs w:val="22"/>
        </w:rPr>
      </w:pPr>
      <w:r w:rsidRPr="00C06B1A">
        <w:rPr>
          <w:sz w:val="20"/>
          <w:szCs w:val="22"/>
        </w:rPr>
        <w:t>Veeam Backup &amp; Replication™ combined with Fujitsu ETERNUS storage hardware is a simplified data availability solution that satisfies modern service levels of relevance to the recovery of IT services, including data and applications.</w:t>
      </w:r>
    </w:p>
    <w:p w14:paraId="3F0FAB46" w14:textId="6A87032B" w:rsidR="00C06B1A" w:rsidRPr="00C06B1A" w:rsidRDefault="005930F3" w:rsidP="00C06B1A">
      <w:pPr>
        <w:rPr>
          <w:sz w:val="20"/>
          <w:szCs w:val="22"/>
        </w:rPr>
      </w:pPr>
      <w:r w:rsidRPr="00924E07">
        <w:rPr>
          <w:noProof/>
          <w:sz w:val="20"/>
        </w:rPr>
        <w:drawing>
          <wp:anchor distT="0" distB="0" distL="114300" distR="114300" simplePos="0" relativeHeight="251655168" behindDoc="0" locked="0" layoutInCell="1" allowOverlap="1" wp14:anchorId="20048B17" wp14:editId="0A979310">
            <wp:simplePos x="0" y="0"/>
            <wp:positionH relativeFrom="column">
              <wp:posOffset>-2540</wp:posOffset>
            </wp:positionH>
            <wp:positionV relativeFrom="paragraph">
              <wp:posOffset>953135</wp:posOffset>
            </wp:positionV>
            <wp:extent cx="6616700" cy="1798955"/>
            <wp:effectExtent l="0" t="0" r="0" b="0"/>
            <wp:wrapSquare wrapText="bothSides"/>
            <wp:docPr id="26" name="Grafik 25">
              <a:extLst xmlns:a="http://schemas.openxmlformats.org/drawingml/2006/main">
                <a:ext uri="{FF2B5EF4-FFF2-40B4-BE49-F238E27FC236}">
                  <a16:creationId xmlns:a16="http://schemas.microsoft.com/office/drawing/2014/main" id="{EAFB7600-0183-4B85-AAFB-5B88F092E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a:extLst>
                        <a:ext uri="{FF2B5EF4-FFF2-40B4-BE49-F238E27FC236}">
                          <a16:creationId xmlns:a16="http://schemas.microsoft.com/office/drawing/2014/main" id="{EAFB7600-0183-4B85-AAFB-5B88F092EE5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b="8822"/>
                    <a:stretch/>
                  </pic:blipFill>
                  <pic:spPr bwMode="auto">
                    <a:xfrm>
                      <a:off x="0" y="0"/>
                      <a:ext cx="6616700" cy="1798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6B1A" w:rsidRPr="00C06B1A">
        <w:rPr>
          <w:sz w:val="20"/>
          <w:szCs w:val="22"/>
        </w:rPr>
        <w:t xml:space="preserve">A very important feature is how fast storage integrations can be added with the </w:t>
      </w:r>
      <w:r w:rsidR="00C06B1A" w:rsidRPr="00C06B1A">
        <w:rPr>
          <w:rFonts w:ascii="Fujitsu Infinity Pro Bold" w:hAnsi="Fujitsu Infinity Pro Bold"/>
          <w:sz w:val="20"/>
          <w:szCs w:val="22"/>
        </w:rPr>
        <w:t>Veeam Universal Storage API</w:t>
      </w:r>
      <w:r w:rsidR="00C06B1A" w:rsidRPr="00C06B1A">
        <w:rPr>
          <w:sz w:val="20"/>
          <w:szCs w:val="22"/>
        </w:rPr>
        <w:t xml:space="preserve">. This framework was introduced with Veeam Backup &amp; Replication 9.5 Update 3 and has allowed Veeam and its alliance partners to rapidly add new supported storage systems. This Veeam Plug-In supports Fujitsu Storage ETERNUS AF, DX and ETERNUS </w:t>
      </w:r>
      <w:r w:rsidR="002C3F3E">
        <w:rPr>
          <w:sz w:val="20"/>
          <w:szCs w:val="22"/>
        </w:rPr>
        <w:t>S</w:t>
      </w:r>
      <w:r w:rsidR="00C06B1A" w:rsidRPr="00C06B1A">
        <w:rPr>
          <w:sz w:val="20"/>
          <w:szCs w:val="22"/>
        </w:rPr>
        <w:t xml:space="preserve">torage </w:t>
      </w:r>
      <w:r w:rsidR="002C3F3E">
        <w:rPr>
          <w:sz w:val="20"/>
          <w:szCs w:val="22"/>
        </w:rPr>
        <w:t>C</w:t>
      </w:r>
      <w:r w:rsidR="00C06B1A" w:rsidRPr="00C06B1A">
        <w:rPr>
          <w:sz w:val="20"/>
          <w:szCs w:val="22"/>
        </w:rPr>
        <w:t>luster configurations providing many outstanding capabilities:</w:t>
      </w:r>
    </w:p>
    <w:p w14:paraId="5BC13F14" w14:textId="1B496A7D" w:rsidR="00924E07" w:rsidRPr="00EC4136" w:rsidRDefault="00924E07" w:rsidP="00924E07">
      <w:pPr>
        <w:pStyle w:val="Caption"/>
        <w:rPr>
          <w:color w:val="auto"/>
          <w:sz w:val="20"/>
        </w:rPr>
      </w:pPr>
      <w:r w:rsidRPr="00924E07">
        <w:rPr>
          <w:color w:val="auto"/>
        </w:rPr>
        <w:t xml:space="preserve"> </w:t>
      </w: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Pr="00EC4136">
        <w:rPr>
          <w:noProof/>
          <w:color w:val="auto"/>
        </w:rPr>
        <w:t>3</w:t>
      </w:r>
      <w:r w:rsidRPr="00EC4136">
        <w:rPr>
          <w:color w:val="auto"/>
        </w:rPr>
        <w:fldChar w:fldCharType="end"/>
      </w:r>
      <w:r w:rsidRPr="00EC4136">
        <w:rPr>
          <w:color w:val="auto"/>
        </w:rPr>
        <w:t>: Snapshot integration</w:t>
      </w:r>
    </w:p>
    <w:p w14:paraId="720ABC0B" w14:textId="68D9CE8E" w:rsidR="0000297F" w:rsidRPr="00535C6B" w:rsidRDefault="0000297F" w:rsidP="0000297F">
      <w:pPr>
        <w:spacing w:after="0"/>
        <w:rPr>
          <w:sz w:val="20"/>
        </w:rPr>
      </w:pPr>
      <w:r w:rsidRPr="00535C6B">
        <w:rPr>
          <w:sz w:val="20"/>
        </w:rPr>
        <w:t xml:space="preserve">Backup from </w:t>
      </w:r>
      <w:r w:rsidR="00C06B1A">
        <w:rPr>
          <w:sz w:val="20"/>
        </w:rPr>
        <w:t>s</w:t>
      </w:r>
      <w:r w:rsidRPr="00535C6B">
        <w:rPr>
          <w:sz w:val="20"/>
        </w:rPr>
        <w:t xml:space="preserve">torage </w:t>
      </w:r>
      <w:r w:rsidR="00C06B1A">
        <w:rPr>
          <w:sz w:val="20"/>
        </w:rPr>
        <w:t>s</w:t>
      </w:r>
      <w:r w:rsidRPr="00535C6B">
        <w:rPr>
          <w:sz w:val="20"/>
        </w:rPr>
        <w:t>napshots lets you speed up backup and replication for VMware vSphere VMs whose disks are hosted on storage systems.</w:t>
      </w:r>
      <w:r>
        <w:rPr>
          <w:sz w:val="20"/>
        </w:rPr>
        <w:t xml:space="preserve"> </w:t>
      </w:r>
      <w:r w:rsidRPr="00535C6B">
        <w:rPr>
          <w:sz w:val="20"/>
        </w:rPr>
        <w:t xml:space="preserve">It allows the data mover (a Veeam VMware Backup Proxy) to do the heavy lifting of a backup job from the storage snapshot rather than from a conventional VMware vSphere snapshot. This integration will allow organizations to take backups or replicas at any time of the day, maintaining VMware Changed Block Tracking (CBT) and application consistency. It also reduces impact of backup and replication activities on the production environment and improves RPOs. </w:t>
      </w:r>
    </w:p>
    <w:p w14:paraId="0990A01D" w14:textId="77777777" w:rsidR="008D065C" w:rsidRPr="00535C6B" w:rsidRDefault="008D065C" w:rsidP="0000297F">
      <w:pPr>
        <w:spacing w:after="0"/>
        <w:rPr>
          <w:sz w:val="20"/>
        </w:rPr>
      </w:pPr>
    </w:p>
    <w:p w14:paraId="56EB4435" w14:textId="272621F9" w:rsidR="0000297F" w:rsidRPr="00C06B1A" w:rsidRDefault="0000297F" w:rsidP="00C06B1A">
      <w:pPr>
        <w:pStyle w:val="BulletsLevel1"/>
        <w:rPr>
          <w:sz w:val="20"/>
          <w:szCs w:val="22"/>
        </w:rPr>
      </w:pPr>
      <w:r w:rsidRPr="00C06B1A">
        <w:rPr>
          <w:sz w:val="20"/>
          <w:szCs w:val="22"/>
        </w:rPr>
        <w:t xml:space="preserve">Veeam </w:t>
      </w:r>
      <w:r w:rsidR="002C3F3E">
        <w:rPr>
          <w:sz w:val="20"/>
          <w:szCs w:val="22"/>
        </w:rPr>
        <w:t>e</w:t>
      </w:r>
      <w:r w:rsidRPr="00C06B1A">
        <w:rPr>
          <w:sz w:val="20"/>
          <w:szCs w:val="22"/>
        </w:rPr>
        <w:t xml:space="preserve">xplorer for </w:t>
      </w:r>
      <w:r w:rsidR="00FB097C">
        <w:rPr>
          <w:sz w:val="20"/>
          <w:szCs w:val="22"/>
        </w:rPr>
        <w:t>fast recovery</w:t>
      </w:r>
    </w:p>
    <w:p w14:paraId="1AA48B4F" w14:textId="77777777" w:rsidR="0000297F" w:rsidRPr="00535C6B" w:rsidRDefault="0000297F" w:rsidP="0000297F">
      <w:pPr>
        <w:spacing w:after="0"/>
        <w:rPr>
          <w:sz w:val="20"/>
        </w:rPr>
      </w:pPr>
      <w:r w:rsidRPr="00535C6B">
        <w:rPr>
          <w:sz w:val="20"/>
        </w:rPr>
        <w:t xml:space="preserve">Veeam Explorer for Storage Snapshots is a technology in Veeam Backup &amp; Replication that allows you to restore VMware VM data directly from native storage snapshots. It automates the process of data recovery for VMs hosted on storage systems and eliminates intermediate restore and manual operations. As a result, it is possible to restore necessary VM data from storage snapshots in seconds. There are multiple Veeam Explorer options available: For Microsoft Active Directory, Exchange, SQL, Oracle and File. </w:t>
      </w:r>
    </w:p>
    <w:p w14:paraId="35811850" w14:textId="77777777" w:rsidR="0000297F" w:rsidRPr="00535C6B" w:rsidRDefault="0000297F" w:rsidP="0000297F">
      <w:pPr>
        <w:spacing w:after="0"/>
        <w:rPr>
          <w:sz w:val="20"/>
        </w:rPr>
      </w:pPr>
      <w:r w:rsidRPr="00535C6B">
        <w:rPr>
          <w:sz w:val="20"/>
        </w:rPr>
        <w:t xml:space="preserve"> </w:t>
      </w:r>
    </w:p>
    <w:p w14:paraId="348E7AE6" w14:textId="24CDFC37" w:rsidR="0000297F" w:rsidRPr="00FB097C" w:rsidRDefault="0000297F" w:rsidP="00C06B1A">
      <w:pPr>
        <w:pStyle w:val="BulletsLevel1"/>
        <w:rPr>
          <w:sz w:val="20"/>
          <w:szCs w:val="22"/>
        </w:rPr>
      </w:pPr>
      <w:r w:rsidRPr="00FB097C">
        <w:rPr>
          <w:sz w:val="20"/>
          <w:szCs w:val="22"/>
        </w:rPr>
        <w:t>On-</w:t>
      </w:r>
      <w:r w:rsidR="002C3F3E">
        <w:rPr>
          <w:sz w:val="20"/>
          <w:szCs w:val="22"/>
        </w:rPr>
        <w:t>d</w:t>
      </w:r>
      <w:r w:rsidRPr="00FB097C">
        <w:rPr>
          <w:sz w:val="20"/>
          <w:szCs w:val="22"/>
        </w:rPr>
        <w:t xml:space="preserve">emand </w:t>
      </w:r>
      <w:r w:rsidR="002C3F3E">
        <w:rPr>
          <w:sz w:val="20"/>
          <w:szCs w:val="22"/>
        </w:rPr>
        <w:t>s</w:t>
      </w:r>
      <w:r w:rsidRPr="00FB097C">
        <w:rPr>
          <w:sz w:val="20"/>
          <w:szCs w:val="22"/>
        </w:rPr>
        <w:t xml:space="preserve">andbox </w:t>
      </w:r>
      <w:r w:rsidR="00FB097C">
        <w:rPr>
          <w:sz w:val="20"/>
          <w:szCs w:val="22"/>
        </w:rPr>
        <w:t xml:space="preserve">feature </w:t>
      </w:r>
      <w:r w:rsidRPr="00FB097C">
        <w:rPr>
          <w:sz w:val="20"/>
          <w:szCs w:val="22"/>
        </w:rPr>
        <w:t xml:space="preserve">for </w:t>
      </w:r>
      <w:r w:rsidR="00FB097C">
        <w:rPr>
          <w:sz w:val="20"/>
          <w:szCs w:val="22"/>
        </w:rPr>
        <w:t>testing</w:t>
      </w:r>
      <w:r w:rsidRPr="00FB097C">
        <w:rPr>
          <w:sz w:val="20"/>
          <w:szCs w:val="22"/>
        </w:rPr>
        <w:t xml:space="preserve"> </w:t>
      </w:r>
    </w:p>
    <w:p w14:paraId="590D881E" w14:textId="770C2B1C" w:rsidR="0000297F" w:rsidRPr="00535C6B" w:rsidRDefault="00FB097C" w:rsidP="0000297F">
      <w:pPr>
        <w:spacing w:after="0"/>
        <w:rPr>
          <w:sz w:val="20"/>
        </w:rPr>
      </w:pPr>
      <w:r>
        <w:rPr>
          <w:sz w:val="20"/>
        </w:rPr>
        <w:t>A</w:t>
      </w:r>
      <w:r w:rsidRPr="00FB097C">
        <w:rPr>
          <w:sz w:val="20"/>
          <w:szCs w:val="22"/>
        </w:rPr>
        <w:t xml:space="preserve">s part of Veeam </w:t>
      </w:r>
      <w:proofErr w:type="spellStart"/>
      <w:r w:rsidRPr="00FB097C">
        <w:rPr>
          <w:sz w:val="20"/>
          <w:szCs w:val="22"/>
        </w:rPr>
        <w:t>DataLabs</w:t>
      </w:r>
      <w:proofErr w:type="spellEnd"/>
      <w:r w:rsidR="0000297F" w:rsidRPr="00535C6B">
        <w:rPr>
          <w:sz w:val="20"/>
        </w:rPr>
        <w:t xml:space="preserve">, there is the option to start VMs from existing snapshots on the production storage array. You can use the </w:t>
      </w:r>
      <w:r w:rsidR="002C3F3E">
        <w:rPr>
          <w:sz w:val="20"/>
        </w:rPr>
        <w:t>o</w:t>
      </w:r>
      <w:r w:rsidR="0000297F" w:rsidRPr="00535C6B">
        <w:rPr>
          <w:sz w:val="20"/>
        </w:rPr>
        <w:t>n-</w:t>
      </w:r>
      <w:r w:rsidR="002C3F3E">
        <w:rPr>
          <w:sz w:val="20"/>
        </w:rPr>
        <w:t>d</w:t>
      </w:r>
      <w:r w:rsidR="0000297F" w:rsidRPr="00535C6B">
        <w:rPr>
          <w:sz w:val="20"/>
        </w:rPr>
        <w:t xml:space="preserve">emand </w:t>
      </w:r>
      <w:r w:rsidR="002C3F3E">
        <w:rPr>
          <w:sz w:val="20"/>
        </w:rPr>
        <w:t>s</w:t>
      </w:r>
      <w:r w:rsidR="0000297F" w:rsidRPr="00535C6B">
        <w:rPr>
          <w:sz w:val="20"/>
        </w:rPr>
        <w:t>andbox to test VMs, troubleshoot issues, perform training, etc. This turns out to be a huge help to organizations by avoiding changes that do not go as expected. You will be able to answer questions like “How long will it take?”, “What will happen?”, and, most importantly, “Will it work?”.</w:t>
      </w:r>
    </w:p>
    <w:p w14:paraId="514BE799" w14:textId="61A10F57" w:rsidR="00FB097C" w:rsidRDefault="00FB097C" w:rsidP="0000297F">
      <w:pPr>
        <w:spacing w:after="0"/>
        <w:rPr>
          <w:sz w:val="20"/>
        </w:rPr>
      </w:pPr>
    </w:p>
    <w:p w14:paraId="6867D7F9" w14:textId="238FEAE9" w:rsidR="0000297F" w:rsidRPr="00FB097C" w:rsidRDefault="00FB097C" w:rsidP="00FB097C">
      <w:pPr>
        <w:pStyle w:val="BulletsLevel1"/>
        <w:rPr>
          <w:sz w:val="20"/>
          <w:szCs w:val="22"/>
        </w:rPr>
      </w:pPr>
      <w:r>
        <w:rPr>
          <w:sz w:val="20"/>
          <w:szCs w:val="22"/>
        </w:rPr>
        <w:t>Veeam orchestrates p</w:t>
      </w:r>
      <w:r w:rsidR="0000297F" w:rsidRPr="00FB097C">
        <w:rPr>
          <w:sz w:val="20"/>
          <w:szCs w:val="22"/>
        </w:rPr>
        <w:t xml:space="preserve">rimary </w:t>
      </w:r>
      <w:r>
        <w:rPr>
          <w:sz w:val="20"/>
          <w:szCs w:val="22"/>
        </w:rPr>
        <w:t>s</w:t>
      </w:r>
      <w:r w:rsidR="0000297F" w:rsidRPr="00FB097C">
        <w:rPr>
          <w:sz w:val="20"/>
          <w:szCs w:val="22"/>
        </w:rPr>
        <w:t xml:space="preserve">torage </w:t>
      </w:r>
      <w:r>
        <w:rPr>
          <w:sz w:val="20"/>
          <w:szCs w:val="22"/>
        </w:rPr>
        <w:t>s</w:t>
      </w:r>
      <w:r w:rsidR="0000297F" w:rsidRPr="00FB097C">
        <w:rPr>
          <w:sz w:val="20"/>
          <w:szCs w:val="22"/>
        </w:rPr>
        <w:t>napshot</w:t>
      </w:r>
      <w:r>
        <w:rPr>
          <w:sz w:val="20"/>
          <w:szCs w:val="22"/>
        </w:rPr>
        <w:t>s</w:t>
      </w:r>
      <w:r w:rsidR="0000297F" w:rsidRPr="00FB097C">
        <w:rPr>
          <w:sz w:val="20"/>
          <w:szCs w:val="22"/>
        </w:rPr>
        <w:t xml:space="preserve"> </w:t>
      </w:r>
    </w:p>
    <w:p w14:paraId="72D54AD7" w14:textId="158C3273" w:rsidR="0000297F" w:rsidRPr="002545C2" w:rsidRDefault="0000297F" w:rsidP="0000297F">
      <w:pPr>
        <w:spacing w:after="0"/>
        <w:rPr>
          <w:sz w:val="20"/>
        </w:rPr>
      </w:pPr>
      <w:r w:rsidRPr="002545C2">
        <w:rPr>
          <w:sz w:val="20"/>
        </w:rPr>
        <w:t>The Veeam plug-in for Fujitsu ETERNUS DX/AF storage will also allow you to instruct Veeam to constantly create new snapshots (and automatically/manually delete them after a while). These jobs will not produce a backup but will produce a storage snapshot that can be used with shorter RPO’s than a classic backup and with the Veeam Explorer for Storage Snapshots you’ll be able to recover even faster than from a backup.</w:t>
      </w:r>
    </w:p>
    <w:p w14:paraId="7BA4FCB5" w14:textId="07846503" w:rsidR="0000297F" w:rsidRPr="002545C2" w:rsidRDefault="0000297F" w:rsidP="0000297F">
      <w:pPr>
        <w:spacing w:after="0"/>
        <w:rPr>
          <w:sz w:val="20"/>
        </w:rPr>
      </w:pPr>
    </w:p>
    <w:p w14:paraId="037FAD75" w14:textId="1502B418" w:rsidR="0000297F" w:rsidRPr="00FB097C" w:rsidRDefault="0000297F" w:rsidP="00FB097C">
      <w:pPr>
        <w:pStyle w:val="BulletsLevel1"/>
        <w:rPr>
          <w:sz w:val="20"/>
          <w:szCs w:val="22"/>
        </w:rPr>
      </w:pPr>
      <w:r w:rsidRPr="00FB097C">
        <w:rPr>
          <w:sz w:val="20"/>
          <w:szCs w:val="22"/>
        </w:rPr>
        <w:t xml:space="preserve">Veeam Snapshot Plug-In </w:t>
      </w:r>
      <w:r w:rsidR="00FB097C">
        <w:rPr>
          <w:sz w:val="20"/>
          <w:szCs w:val="22"/>
        </w:rPr>
        <w:t>supports s</w:t>
      </w:r>
      <w:r w:rsidRPr="00FB097C">
        <w:rPr>
          <w:sz w:val="20"/>
          <w:szCs w:val="22"/>
        </w:rPr>
        <w:t xml:space="preserve">torage </w:t>
      </w:r>
      <w:r w:rsidR="00FB097C">
        <w:rPr>
          <w:sz w:val="20"/>
          <w:szCs w:val="22"/>
        </w:rPr>
        <w:t>c</w:t>
      </w:r>
      <w:r w:rsidRPr="00FB097C">
        <w:rPr>
          <w:sz w:val="20"/>
          <w:szCs w:val="22"/>
        </w:rPr>
        <w:t>luster</w:t>
      </w:r>
      <w:r w:rsidR="00FB097C">
        <w:rPr>
          <w:sz w:val="20"/>
          <w:szCs w:val="22"/>
        </w:rPr>
        <w:t xml:space="preserve"> configurations</w:t>
      </w:r>
    </w:p>
    <w:p w14:paraId="3D910964" w14:textId="148F500C" w:rsidR="00A82B65" w:rsidRDefault="0000297F" w:rsidP="0000297F">
      <w:pPr>
        <w:spacing w:after="0"/>
        <w:rPr>
          <w:sz w:val="20"/>
        </w:rPr>
      </w:pPr>
      <w:r w:rsidRPr="002545C2">
        <w:rPr>
          <w:sz w:val="20"/>
        </w:rPr>
        <w:t xml:space="preserve">The Veeam </w:t>
      </w:r>
      <w:r w:rsidR="002C3F3E">
        <w:rPr>
          <w:sz w:val="20"/>
        </w:rPr>
        <w:t>s</w:t>
      </w:r>
      <w:r w:rsidRPr="002545C2">
        <w:rPr>
          <w:sz w:val="20"/>
        </w:rPr>
        <w:t xml:space="preserve">napshot plugin is also aware of </w:t>
      </w:r>
      <w:r w:rsidR="00FB097C">
        <w:rPr>
          <w:sz w:val="20"/>
        </w:rPr>
        <w:t xml:space="preserve">ETERNUS </w:t>
      </w:r>
      <w:r w:rsidR="002C3F3E">
        <w:rPr>
          <w:sz w:val="20"/>
        </w:rPr>
        <w:t>S</w:t>
      </w:r>
      <w:r w:rsidRPr="002545C2">
        <w:rPr>
          <w:sz w:val="20"/>
        </w:rPr>
        <w:t xml:space="preserve">torage </w:t>
      </w:r>
      <w:r w:rsidR="002C3F3E">
        <w:rPr>
          <w:sz w:val="20"/>
        </w:rPr>
        <w:t>C</w:t>
      </w:r>
      <w:r w:rsidRPr="002545C2">
        <w:rPr>
          <w:sz w:val="20"/>
        </w:rPr>
        <w:t xml:space="preserve">luster environments. When it comes to mission-critical data that must be available around the clock, a disaster-proof configuration is an absolute must. </w:t>
      </w:r>
    </w:p>
    <w:p w14:paraId="57E1E271" w14:textId="6F8B8C7C" w:rsidR="00E85FAE" w:rsidRDefault="00E85FAE" w:rsidP="0000297F">
      <w:pPr>
        <w:spacing w:after="0"/>
        <w:rPr>
          <w:sz w:val="20"/>
        </w:rPr>
      </w:pPr>
    </w:p>
    <w:p w14:paraId="57995F44" w14:textId="31E89509" w:rsidR="00E85FAE" w:rsidRDefault="00E85FAE" w:rsidP="0000297F">
      <w:pPr>
        <w:spacing w:after="0"/>
        <w:rPr>
          <w:sz w:val="20"/>
        </w:rPr>
      </w:pPr>
    </w:p>
    <w:p w14:paraId="42AA523C" w14:textId="77777777" w:rsidR="00E85FAE" w:rsidRDefault="00E85FAE" w:rsidP="0000297F">
      <w:pPr>
        <w:spacing w:after="0"/>
        <w:rPr>
          <w:sz w:val="20"/>
        </w:rPr>
      </w:pPr>
    </w:p>
    <w:p w14:paraId="14857E71" w14:textId="5FB0D49D" w:rsidR="00DA2E05" w:rsidRDefault="005930F3" w:rsidP="0000297F">
      <w:pPr>
        <w:spacing w:after="0"/>
        <w:rPr>
          <w:sz w:val="20"/>
        </w:rPr>
      </w:pPr>
      <w:r>
        <w:rPr>
          <w:noProof/>
          <w:snapToGrid/>
          <w:sz w:val="20"/>
        </w:rPr>
        <mc:AlternateContent>
          <mc:Choice Requires="wps">
            <w:drawing>
              <wp:anchor distT="0" distB="0" distL="114300" distR="114300" simplePos="0" relativeHeight="251683328" behindDoc="0" locked="0" layoutInCell="1" allowOverlap="1" wp14:anchorId="1DD98133" wp14:editId="080BE8CB">
                <wp:simplePos x="0" y="0"/>
                <wp:positionH relativeFrom="column">
                  <wp:posOffset>5958334</wp:posOffset>
                </wp:positionH>
                <wp:positionV relativeFrom="paragraph">
                  <wp:posOffset>3379321</wp:posOffset>
                </wp:positionV>
                <wp:extent cx="670655" cy="200483"/>
                <wp:effectExtent l="0" t="0" r="0" b="9525"/>
                <wp:wrapNone/>
                <wp:docPr id="7" name="Rectangle 7"/>
                <wp:cNvGraphicFramePr/>
                <a:graphic xmlns:a="http://schemas.openxmlformats.org/drawingml/2006/main">
                  <a:graphicData uri="http://schemas.microsoft.com/office/word/2010/wordprocessingShape">
                    <wps:wsp>
                      <wps:cNvSpPr/>
                      <wps:spPr>
                        <a:xfrm>
                          <a:off x="0" y="0"/>
                          <a:ext cx="670655" cy="2004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8E7BE" id="Rectangle 7" o:spid="_x0000_s1026" style="position:absolute;margin-left:469.15pt;margin-top:266.1pt;width:52.8pt;height:15.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" fillcolor="white [3212]" stroked="f" strokeweight="2pt"/>
            </w:pict>
          </mc:Fallback>
        </mc:AlternateContent>
      </w:r>
      <w:r w:rsidR="00E85FAE" w:rsidRPr="00E85FAE">
        <w:rPr>
          <w:noProof/>
          <w:sz w:val="20"/>
        </w:rPr>
        <w:drawing>
          <wp:anchor distT="0" distB="0" distL="114300" distR="114300" simplePos="0" relativeHeight="251668992" behindDoc="0" locked="0" layoutInCell="1" allowOverlap="1" wp14:anchorId="38F389AD" wp14:editId="36B7AB81">
            <wp:simplePos x="0" y="0"/>
            <wp:positionH relativeFrom="column">
              <wp:posOffset>12065</wp:posOffset>
            </wp:positionH>
            <wp:positionV relativeFrom="paragraph">
              <wp:posOffset>318135</wp:posOffset>
            </wp:positionV>
            <wp:extent cx="6616700" cy="3163570"/>
            <wp:effectExtent l="0" t="0" r="0" b="0"/>
            <wp:wrapSquare wrapText="bothSides"/>
            <wp:docPr id="17" name="Grafik 16">
              <a:extLst xmlns:a="http://schemas.openxmlformats.org/drawingml/2006/main">
                <a:ext uri="{FF2B5EF4-FFF2-40B4-BE49-F238E27FC236}">
                  <a16:creationId xmlns:a16="http://schemas.microsoft.com/office/drawing/2014/main" id="{C95271D3-5AAE-47A5-9F62-BFCC5EB51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a:extLst>
                        <a:ext uri="{FF2B5EF4-FFF2-40B4-BE49-F238E27FC236}">
                          <a16:creationId xmlns:a16="http://schemas.microsoft.com/office/drawing/2014/main" id="{C95271D3-5AAE-47A5-9F62-BFCC5EB51FDC}"/>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b="2690"/>
                    <a:stretch/>
                  </pic:blipFill>
                  <pic:spPr bwMode="auto">
                    <a:xfrm>
                      <a:off x="0" y="0"/>
                      <a:ext cx="6616700" cy="3163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0AD152" w14:textId="3B407225" w:rsidR="00DA2E05" w:rsidRPr="00EC4136" w:rsidRDefault="00A82B65" w:rsidP="00E701AE">
      <w:pPr>
        <w:pStyle w:val="Caption"/>
        <w:jc w:val="center"/>
        <w:rPr>
          <w:color w:val="auto"/>
          <w:sz w:val="20"/>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4</w:t>
      </w:r>
      <w:r w:rsidRPr="00EC4136">
        <w:rPr>
          <w:color w:val="auto"/>
        </w:rPr>
        <w:fldChar w:fldCharType="end"/>
      </w:r>
      <w:r w:rsidRPr="00EC4136">
        <w:rPr>
          <w:color w:val="auto"/>
        </w:rPr>
        <w:t>: Storage Cluster in normal operation</w:t>
      </w:r>
    </w:p>
    <w:p w14:paraId="7B807BF4" w14:textId="6DD6C367" w:rsidR="00E85FAE" w:rsidRDefault="00E85FAE">
      <w:pPr>
        <w:adjustRightInd/>
        <w:snapToGrid/>
        <w:spacing w:after="0"/>
        <w:rPr>
          <w:sz w:val="20"/>
        </w:rPr>
      </w:pPr>
      <w:r>
        <w:rPr>
          <w:sz w:val="20"/>
        </w:rPr>
        <w:br w:type="page"/>
      </w:r>
    </w:p>
    <w:p w14:paraId="705A1FA4" w14:textId="6F516EB9" w:rsidR="000E022F" w:rsidRDefault="005930F3" w:rsidP="0000297F">
      <w:pPr>
        <w:spacing w:after="0"/>
        <w:rPr>
          <w:sz w:val="20"/>
        </w:rPr>
      </w:pPr>
      <w:r>
        <w:rPr>
          <w:noProof/>
          <w:snapToGrid/>
          <w:sz w:val="20"/>
        </w:rPr>
        <w:lastRenderedPageBreak/>
        <mc:AlternateContent>
          <mc:Choice Requires="wps">
            <w:drawing>
              <wp:anchor distT="0" distB="0" distL="114300" distR="114300" simplePos="0" relativeHeight="251660288" behindDoc="0" locked="0" layoutInCell="1" allowOverlap="1" wp14:anchorId="4A89BE10" wp14:editId="5FA0E181">
                <wp:simplePos x="0" y="0"/>
                <wp:positionH relativeFrom="column">
                  <wp:posOffset>5960809</wp:posOffset>
                </wp:positionH>
                <wp:positionV relativeFrom="paragraph">
                  <wp:posOffset>3017690</wp:posOffset>
                </wp:positionV>
                <wp:extent cx="670655" cy="200483"/>
                <wp:effectExtent l="0" t="0" r="0" b="9525"/>
                <wp:wrapNone/>
                <wp:docPr id="8" name="Rectangle 8"/>
                <wp:cNvGraphicFramePr/>
                <a:graphic xmlns:a="http://schemas.openxmlformats.org/drawingml/2006/main">
                  <a:graphicData uri="http://schemas.microsoft.com/office/word/2010/wordprocessingShape">
                    <wps:wsp>
                      <wps:cNvSpPr/>
                      <wps:spPr>
                        <a:xfrm>
                          <a:off x="0" y="0"/>
                          <a:ext cx="670655" cy="2004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1DE4F" id="Rectangle 8" o:spid="_x0000_s1026" style="position:absolute;margin-left:469.35pt;margin-top:237.6pt;width:52.8pt;height:1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" fillcolor="white [3212]" stroked="f" strokeweight="2pt"/>
            </w:pict>
          </mc:Fallback>
        </mc:AlternateContent>
      </w:r>
      <w:r w:rsidR="00E85FAE" w:rsidRPr="00E85FAE">
        <w:rPr>
          <w:noProof/>
          <w:sz w:val="20"/>
        </w:rPr>
        <w:drawing>
          <wp:anchor distT="0" distB="0" distL="114300" distR="114300" simplePos="0" relativeHeight="251657216" behindDoc="0" locked="0" layoutInCell="1" allowOverlap="1" wp14:anchorId="25E61991" wp14:editId="0A62C00F">
            <wp:simplePos x="0" y="0"/>
            <wp:positionH relativeFrom="column">
              <wp:posOffset>12065</wp:posOffset>
            </wp:positionH>
            <wp:positionV relativeFrom="paragraph">
              <wp:posOffset>73660</wp:posOffset>
            </wp:positionV>
            <wp:extent cx="6616700" cy="3065780"/>
            <wp:effectExtent l="0" t="0" r="0" b="1270"/>
            <wp:wrapSquare wrapText="bothSides"/>
            <wp:docPr id="253" name="Grafik 16">
              <a:extLst xmlns:a="http://schemas.openxmlformats.org/drawingml/2006/main">
                <a:ext uri="{FF2B5EF4-FFF2-40B4-BE49-F238E27FC236}">
                  <a16:creationId xmlns:a16="http://schemas.microsoft.com/office/drawing/2014/main" id="{03665CE4-D1FE-47BC-8EE7-6481B6DA4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a:extLst>
                        <a:ext uri="{FF2B5EF4-FFF2-40B4-BE49-F238E27FC236}">
                          <a16:creationId xmlns:a16="http://schemas.microsoft.com/office/drawing/2014/main" id="{03665CE4-D1FE-47BC-8EE7-6481B6DA430C}"/>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b="3223"/>
                    <a:stretch/>
                  </pic:blipFill>
                  <pic:spPr bwMode="auto">
                    <a:xfrm>
                      <a:off x="0" y="0"/>
                      <a:ext cx="6616700" cy="3065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0A68D1" w14:textId="2BC99477" w:rsidR="00A82B65" w:rsidRPr="00EC4136" w:rsidRDefault="00A82B65" w:rsidP="00E701AE">
      <w:pPr>
        <w:pStyle w:val="Caption"/>
        <w:jc w:val="center"/>
        <w:rPr>
          <w:color w:val="auto"/>
          <w:sz w:val="20"/>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5</w:t>
      </w:r>
      <w:r w:rsidRPr="00EC4136">
        <w:rPr>
          <w:color w:val="auto"/>
        </w:rPr>
        <w:fldChar w:fldCharType="end"/>
      </w:r>
      <w:r w:rsidRPr="00EC4136">
        <w:rPr>
          <w:color w:val="auto"/>
        </w:rPr>
        <w:t>: Storage Cluster after manual failover</w:t>
      </w:r>
    </w:p>
    <w:p w14:paraId="542E252A" w14:textId="293CD28C" w:rsidR="0000297F" w:rsidRDefault="00FB097C" w:rsidP="0000297F">
      <w:pPr>
        <w:spacing w:after="0"/>
        <w:rPr>
          <w:sz w:val="20"/>
        </w:rPr>
      </w:pPr>
      <w:r>
        <w:rPr>
          <w:sz w:val="20"/>
        </w:rPr>
        <w:t>Fujitsu</w:t>
      </w:r>
      <w:r w:rsidRPr="002545C2">
        <w:rPr>
          <w:sz w:val="20"/>
        </w:rPr>
        <w:t xml:space="preserve"> VBR </w:t>
      </w:r>
      <w:r w:rsidR="0000297F" w:rsidRPr="002545C2">
        <w:rPr>
          <w:sz w:val="20"/>
        </w:rPr>
        <w:t xml:space="preserve">Plugin is able to trigger a </w:t>
      </w:r>
      <w:r>
        <w:rPr>
          <w:sz w:val="20"/>
        </w:rPr>
        <w:t>s</w:t>
      </w:r>
      <w:r w:rsidR="0000297F" w:rsidRPr="002545C2">
        <w:rPr>
          <w:sz w:val="20"/>
        </w:rPr>
        <w:t xml:space="preserve">napshot of the active Transparent Failover Volumes (TFOV) available at the </w:t>
      </w:r>
      <w:r w:rsidR="00F4297A" w:rsidRPr="002545C2">
        <w:rPr>
          <w:sz w:val="20"/>
        </w:rPr>
        <w:t>primary site</w:t>
      </w:r>
      <w:r w:rsidR="0000297F" w:rsidRPr="002545C2">
        <w:rPr>
          <w:sz w:val="20"/>
        </w:rPr>
        <w:t xml:space="preserve"> of the cluster. After failover has processed, the backup existing in backup repository can be restored to the corresponding TFOVs on the secondary site.</w:t>
      </w:r>
    </w:p>
    <w:p w14:paraId="095496ED" w14:textId="1EE8D4EA" w:rsidR="0000297F" w:rsidRDefault="0000297F" w:rsidP="0000297F">
      <w:pPr>
        <w:spacing w:after="0"/>
        <w:rPr>
          <w:sz w:val="20"/>
        </w:rPr>
      </w:pPr>
    </w:p>
    <w:p w14:paraId="0D2EAD56" w14:textId="1FD07AAA" w:rsidR="0000297F" w:rsidRDefault="0000297F" w:rsidP="0000297F">
      <w:pPr>
        <w:pStyle w:val="ListParagraph"/>
        <w:ind w:left="0"/>
        <w:rPr>
          <w:sz w:val="20"/>
        </w:rPr>
      </w:pPr>
      <w:r w:rsidRPr="000B2125">
        <w:rPr>
          <w:sz w:val="20"/>
        </w:rPr>
        <w:t xml:space="preserve">Non-stop operations with transparent failover in ETERNUS Storage Cluster configurations can be executed in both directions, either automatically or manually. A manual failover process is required in the event of planned power shutdowns, DR tests and non-disruptive upgrades. </w:t>
      </w:r>
    </w:p>
    <w:p w14:paraId="64D08AE9" w14:textId="78EEF900" w:rsidR="0000297F" w:rsidRDefault="0000297F" w:rsidP="00E701AE">
      <w:pPr>
        <w:pStyle w:val="ListParagraph"/>
        <w:ind w:left="0"/>
        <w:rPr>
          <w:rStyle w:val="Hyperlink"/>
          <w:rFonts w:cstheme="minorHAnsi"/>
          <w:sz w:val="20"/>
        </w:rPr>
      </w:pPr>
      <w:r w:rsidRPr="000B2125">
        <w:rPr>
          <w:rFonts w:cstheme="minorHAnsi"/>
          <w:sz w:val="20"/>
        </w:rPr>
        <w:t xml:space="preserve">For more details refer to the following </w:t>
      </w:r>
      <w:r w:rsidR="00F4297A">
        <w:rPr>
          <w:rFonts w:cstheme="minorHAnsi"/>
          <w:sz w:val="20"/>
        </w:rPr>
        <w:t>w</w:t>
      </w:r>
      <w:r w:rsidR="00D04349">
        <w:rPr>
          <w:rFonts w:cstheme="minorHAnsi"/>
          <w:sz w:val="20"/>
        </w:rPr>
        <w:t>hite paper</w:t>
      </w:r>
      <w:r w:rsidRPr="000B2125">
        <w:rPr>
          <w:rFonts w:cstheme="minorHAnsi"/>
          <w:sz w:val="20"/>
        </w:rPr>
        <w:t xml:space="preserve">: </w:t>
      </w:r>
      <w:hyperlink r:id="rId27" w:history="1">
        <w:r w:rsidRPr="000B2125">
          <w:rPr>
            <w:rStyle w:val="Hyperlink"/>
            <w:rFonts w:cstheme="minorHAnsi"/>
            <w:sz w:val="20"/>
          </w:rPr>
          <w:t>ETERNUS AF/DX Storage Cluster</w:t>
        </w:r>
      </w:hyperlink>
    </w:p>
    <w:p w14:paraId="02D3603A" w14:textId="77777777" w:rsidR="00924E07" w:rsidRPr="00E701AE" w:rsidRDefault="00924E07" w:rsidP="00E701AE">
      <w:pPr>
        <w:pStyle w:val="ListParagraph"/>
        <w:ind w:left="0"/>
        <w:rPr>
          <w:rFonts w:cstheme="minorHAnsi"/>
          <w:color w:val="0000FF"/>
          <w:sz w:val="20"/>
          <w:u w:val="single"/>
        </w:rPr>
      </w:pPr>
    </w:p>
    <w:p w14:paraId="08BDEFFE" w14:textId="77777777" w:rsidR="00E85FAE" w:rsidRDefault="00E85FAE">
      <w:pPr>
        <w:adjustRightInd/>
        <w:snapToGrid/>
        <w:spacing w:after="0"/>
        <w:rPr>
          <w:rFonts w:ascii="Fujitsu Infinity Pro Bold" w:eastAsia="MS Gothic" w:hAnsi="Fujitsu Infinity Pro Bold" w:cs="Times New Roman"/>
          <w:sz w:val="26"/>
          <w:szCs w:val="26"/>
        </w:rPr>
      </w:pPr>
      <w:r>
        <w:rPr>
          <w:sz w:val="26"/>
          <w:szCs w:val="26"/>
        </w:rPr>
        <w:br w:type="page"/>
      </w:r>
    </w:p>
    <w:p w14:paraId="1D20D924" w14:textId="679CE304" w:rsidR="00154B72" w:rsidRDefault="00B20B36" w:rsidP="00154B72">
      <w:pPr>
        <w:pStyle w:val="Heading1"/>
        <w:rPr>
          <w:sz w:val="26"/>
          <w:szCs w:val="26"/>
        </w:rPr>
      </w:pPr>
      <w:bookmarkStart w:id="6" w:name="_Toc115389251"/>
      <w:r>
        <w:rPr>
          <w:sz w:val="26"/>
          <w:szCs w:val="26"/>
        </w:rPr>
        <w:lastRenderedPageBreak/>
        <w:t>What makes Veeam a perfect fit for hyper-converged infrastructure solutions</w:t>
      </w:r>
      <w:r w:rsidR="00154B72" w:rsidRPr="00154B72">
        <w:rPr>
          <w:sz w:val="26"/>
          <w:szCs w:val="26"/>
        </w:rPr>
        <w:t>?</w:t>
      </w:r>
      <w:bookmarkEnd w:id="6"/>
    </w:p>
    <w:p w14:paraId="5417D781" w14:textId="0466B797" w:rsidR="007B1A6D" w:rsidRPr="00320956" w:rsidRDefault="002E0099" w:rsidP="007B1A6D">
      <w:pPr>
        <w:spacing w:after="0"/>
        <w:rPr>
          <w:rFonts w:ascii="Fujitsu Infinity Pro Bold" w:hAnsi="Fujitsu Infinity Pro Bold"/>
          <w:sz w:val="20"/>
        </w:rPr>
      </w:pPr>
      <w:r>
        <w:rPr>
          <w:rFonts w:ascii="Fujitsu Infinity Pro Bold" w:hAnsi="Fujitsu Infinity Pro Bold"/>
          <w:sz w:val="20"/>
        </w:rPr>
        <w:t>What is a typical h</w:t>
      </w:r>
      <w:r w:rsidR="007B1A6D" w:rsidRPr="00320956">
        <w:rPr>
          <w:rFonts w:ascii="Fujitsu Infinity Pro Bold" w:hAnsi="Fujitsu Infinity Pro Bold"/>
          <w:sz w:val="20"/>
        </w:rPr>
        <w:t>yper-converged scenario</w:t>
      </w:r>
      <w:r>
        <w:rPr>
          <w:rFonts w:ascii="Fujitsu Infinity Pro Bold" w:hAnsi="Fujitsu Infinity Pro Bold"/>
          <w:sz w:val="20"/>
        </w:rPr>
        <w:t>?</w:t>
      </w:r>
    </w:p>
    <w:p w14:paraId="4A1BC227" w14:textId="4D8B8C6D" w:rsidR="007B1A6D" w:rsidRDefault="005930F3" w:rsidP="007B1A6D">
      <w:pPr>
        <w:spacing w:after="0"/>
        <w:rPr>
          <w:sz w:val="20"/>
        </w:rPr>
      </w:pPr>
      <w:r w:rsidRPr="00E85FAE">
        <w:rPr>
          <w:noProof/>
          <w:sz w:val="20"/>
        </w:rPr>
        <w:drawing>
          <wp:anchor distT="0" distB="0" distL="114300" distR="114300" simplePos="0" relativeHeight="251658240" behindDoc="0" locked="0" layoutInCell="1" allowOverlap="1" wp14:anchorId="233EB10D" wp14:editId="5E99CE48">
            <wp:simplePos x="0" y="0"/>
            <wp:positionH relativeFrom="column">
              <wp:posOffset>-2540</wp:posOffset>
            </wp:positionH>
            <wp:positionV relativeFrom="paragraph">
              <wp:posOffset>699135</wp:posOffset>
            </wp:positionV>
            <wp:extent cx="6616700" cy="3192780"/>
            <wp:effectExtent l="0" t="0" r="0" b="7620"/>
            <wp:wrapSquare wrapText="bothSides"/>
            <wp:docPr id="254" name="Grafik 1">
              <a:extLst xmlns:a="http://schemas.openxmlformats.org/drawingml/2006/main">
                <a:ext uri="{FF2B5EF4-FFF2-40B4-BE49-F238E27FC236}">
                  <a16:creationId xmlns:a16="http://schemas.microsoft.com/office/drawing/2014/main" id="{065A5CDB-6AD0-429A-9FA3-AE12E240A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065A5CDB-6AD0-429A-9FA3-AE12E240A179}"/>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b="4055"/>
                    <a:stretch/>
                  </pic:blipFill>
                  <pic:spPr bwMode="auto">
                    <a:xfrm>
                      <a:off x="0" y="0"/>
                      <a:ext cx="6616700" cy="3192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1A6D" w:rsidRPr="00C5073C">
        <w:rPr>
          <w:sz w:val="20"/>
        </w:rPr>
        <w:t>In reference to the diagram stated above showing the best practices for implementing a Veeam data protection environment for a converged infrastructure, the picture changes substantially for hyper-converged scenarios</w:t>
      </w:r>
      <w:r w:rsidR="0039598D">
        <w:rPr>
          <w:sz w:val="20"/>
        </w:rPr>
        <w:t>.</w:t>
      </w:r>
    </w:p>
    <w:p w14:paraId="71FBB078" w14:textId="711F7826" w:rsidR="00A361F8" w:rsidRPr="00EC4136" w:rsidRDefault="00A361F8" w:rsidP="00A361F8">
      <w:pPr>
        <w:pStyle w:val="Caption"/>
        <w:rPr>
          <w:color w:val="auto"/>
          <w:sz w:val="20"/>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6</w:t>
      </w:r>
      <w:r w:rsidRPr="00EC4136">
        <w:rPr>
          <w:color w:val="auto"/>
        </w:rPr>
        <w:fldChar w:fldCharType="end"/>
      </w:r>
      <w:r w:rsidRPr="00EC4136">
        <w:rPr>
          <w:color w:val="auto"/>
        </w:rPr>
        <w:t>: Typical hyper-converged scenario</w:t>
      </w:r>
    </w:p>
    <w:p w14:paraId="4160D5DA" w14:textId="5A88C650" w:rsidR="00B225A2" w:rsidRPr="00C5073C" w:rsidRDefault="007B1A6D" w:rsidP="007B1A6D">
      <w:pPr>
        <w:spacing w:after="0"/>
        <w:rPr>
          <w:sz w:val="20"/>
        </w:rPr>
      </w:pPr>
      <w:r w:rsidRPr="00C5073C">
        <w:rPr>
          <w:sz w:val="20"/>
        </w:rPr>
        <w:t xml:space="preserve">Here, all data transfer from the HCI servers to the Veeam </w:t>
      </w:r>
      <w:r w:rsidR="002C3F3E">
        <w:rPr>
          <w:sz w:val="20"/>
        </w:rPr>
        <w:t>b</w:t>
      </w:r>
      <w:r w:rsidRPr="00C5073C">
        <w:rPr>
          <w:sz w:val="20"/>
        </w:rPr>
        <w:t>ackup server(s) is IP based, while customers still have the flexibility to choose different network technologies to transport the backup data to the different target repositories. Fairly often, customers organize their long-term retention storage in a separate recovery site in a disaster-safe place somewhere else on their campus. For connecting this recovery site with the primary storage site, fiber channel SAN technology is normally the best choice to bridge the longer distances. If all storage is kept in one place, SAS connectivity to the tape device is seen more often.</w:t>
      </w:r>
    </w:p>
    <w:p w14:paraId="2271841A" w14:textId="77777777" w:rsidR="007B1A6D" w:rsidRPr="00320956" w:rsidRDefault="007B1A6D" w:rsidP="007B1A6D">
      <w:pPr>
        <w:pStyle w:val="FSBodycopyblacklight"/>
        <w:rPr>
          <w:sz w:val="20"/>
          <w:lang w:val="en-US" w:eastAsia="ja-JP"/>
        </w:rPr>
      </w:pPr>
    </w:p>
    <w:p w14:paraId="77E58EA4" w14:textId="00FDA97F" w:rsidR="007B1A6D" w:rsidRPr="00320956" w:rsidRDefault="007B1A6D" w:rsidP="007B1A6D">
      <w:pPr>
        <w:spacing w:after="0"/>
        <w:rPr>
          <w:rFonts w:ascii="Fujitsu Infinity Pro Bold" w:hAnsi="Fujitsu Infinity Pro Bold"/>
          <w:sz w:val="20"/>
        </w:rPr>
      </w:pPr>
      <w:r w:rsidRPr="00320956">
        <w:rPr>
          <w:rFonts w:ascii="Fujitsu Infinity Pro Bold" w:hAnsi="Fujitsu Infinity Pro Bold"/>
          <w:sz w:val="20"/>
        </w:rPr>
        <w:t xml:space="preserve">PRIMEFLEX for VMware </w:t>
      </w:r>
      <w:proofErr w:type="spellStart"/>
      <w:r w:rsidRPr="00320956">
        <w:rPr>
          <w:rFonts w:ascii="Fujitsu Infinity Pro Bold" w:hAnsi="Fujitsu Infinity Pro Bold"/>
          <w:sz w:val="20"/>
        </w:rPr>
        <w:t>vSAN</w:t>
      </w:r>
      <w:proofErr w:type="spellEnd"/>
      <w:r w:rsidR="0039598D">
        <w:rPr>
          <w:rFonts w:ascii="Fujitsu Infinity Pro Bold" w:hAnsi="Fujitsu Infinity Pro Bold"/>
          <w:sz w:val="20"/>
        </w:rPr>
        <w:t xml:space="preserve"> m</w:t>
      </w:r>
      <w:r w:rsidR="0039598D" w:rsidRPr="0039598D">
        <w:rPr>
          <w:rFonts w:ascii="Fujitsu Infinity Pro Bold" w:hAnsi="Fujitsu Infinity Pro Bold"/>
          <w:sz w:val="20"/>
        </w:rPr>
        <w:t>aximize</w:t>
      </w:r>
      <w:r w:rsidR="0039598D">
        <w:rPr>
          <w:rFonts w:ascii="Fujitsu Infinity Pro Bold" w:hAnsi="Fujitsu Infinity Pro Bold"/>
          <w:sz w:val="20"/>
        </w:rPr>
        <w:t>s</w:t>
      </w:r>
      <w:r w:rsidR="0039598D" w:rsidRPr="0039598D">
        <w:rPr>
          <w:rFonts w:ascii="Fujitsu Infinity Pro Bold" w:hAnsi="Fujitsu Infinity Pro Bold"/>
          <w:sz w:val="20"/>
        </w:rPr>
        <w:t xml:space="preserve"> operational experience</w:t>
      </w:r>
    </w:p>
    <w:p w14:paraId="5FC45AC6" w14:textId="59ED5830" w:rsidR="00D01211" w:rsidRDefault="007B1A6D" w:rsidP="007B1A6D">
      <w:pPr>
        <w:spacing w:after="0"/>
        <w:rPr>
          <w:sz w:val="20"/>
        </w:rPr>
      </w:pPr>
      <w:r w:rsidRPr="00C5073C">
        <w:rPr>
          <w:sz w:val="20"/>
        </w:rPr>
        <w:t xml:space="preserve">Veeam recognizes which server node runs which VM and data </w:t>
      </w:r>
      <w:r w:rsidR="00692D59" w:rsidRPr="00C5073C">
        <w:rPr>
          <w:sz w:val="20"/>
        </w:rPr>
        <w:t>store</w:t>
      </w:r>
      <w:r w:rsidR="00692D59">
        <w:rPr>
          <w:sz w:val="20"/>
        </w:rPr>
        <w:t xml:space="preserve"> and</w:t>
      </w:r>
      <w:r w:rsidRPr="00C5073C">
        <w:rPr>
          <w:sz w:val="20"/>
        </w:rPr>
        <w:t xml:space="preserve"> can then automatically direct the data stream to the target appliance. By having a Veeam Proxy VM on each physical node of the cluster, it is possible to parallelize the backup streaming. </w:t>
      </w:r>
    </w:p>
    <w:p w14:paraId="182AE467" w14:textId="77777777" w:rsidR="00D01211" w:rsidRPr="00C5073C" w:rsidRDefault="00D01211" w:rsidP="007B1A6D">
      <w:pPr>
        <w:spacing w:after="0"/>
        <w:rPr>
          <w:sz w:val="20"/>
        </w:rPr>
      </w:pPr>
    </w:p>
    <w:p w14:paraId="062370BF" w14:textId="00634691" w:rsidR="007B1A6D" w:rsidRPr="00320956" w:rsidRDefault="007B1A6D" w:rsidP="007B1A6D">
      <w:pPr>
        <w:spacing w:after="0"/>
        <w:rPr>
          <w:rFonts w:ascii="Fujitsu Infinity Pro Bold" w:hAnsi="Fujitsu Infinity Pro Bold"/>
          <w:sz w:val="20"/>
        </w:rPr>
      </w:pPr>
      <w:r w:rsidRPr="00320956">
        <w:rPr>
          <w:rFonts w:ascii="Fujitsu Infinity Pro Bold" w:hAnsi="Fujitsu Infinity Pro Bold"/>
          <w:sz w:val="20"/>
        </w:rPr>
        <w:t>PRIMEFLEX for Microsoft Azure Stack HCI</w:t>
      </w:r>
      <w:r w:rsidR="0039598D">
        <w:rPr>
          <w:rFonts w:ascii="Fujitsu Infinity Pro Bold" w:hAnsi="Fujitsu Infinity Pro Bold"/>
          <w:sz w:val="20"/>
        </w:rPr>
        <w:t xml:space="preserve"> unlocks the power of hybrid IT</w:t>
      </w:r>
    </w:p>
    <w:p w14:paraId="18A912C0" w14:textId="77777777" w:rsidR="007B1A6D" w:rsidRPr="00C5073C" w:rsidRDefault="007B1A6D" w:rsidP="007B1A6D">
      <w:pPr>
        <w:spacing w:after="0"/>
        <w:rPr>
          <w:sz w:val="20"/>
        </w:rPr>
      </w:pPr>
      <w:r w:rsidRPr="00C5073C">
        <w:rPr>
          <w:sz w:val="20"/>
        </w:rPr>
        <w:t xml:space="preserve">For Azure Stack HCI, Veeam installs a data mover on each cluster node, which takes on a “proxy role” inside the Hyper-V hypervisor. The integration in the “Dom 0” is a perfect example of how deep the integration with Microsoft really has become. </w:t>
      </w:r>
    </w:p>
    <w:p w14:paraId="41C8EA5A" w14:textId="77777777" w:rsidR="007B1A6D" w:rsidRPr="00C5073C" w:rsidRDefault="007B1A6D" w:rsidP="007B1A6D">
      <w:pPr>
        <w:spacing w:after="0"/>
        <w:rPr>
          <w:sz w:val="20"/>
        </w:rPr>
      </w:pPr>
    </w:p>
    <w:p w14:paraId="53D34FC4" w14:textId="2DF8D3C1" w:rsidR="007B1A6D" w:rsidRPr="00320956" w:rsidRDefault="007B1A6D" w:rsidP="007B1A6D">
      <w:pPr>
        <w:spacing w:after="0"/>
        <w:rPr>
          <w:rFonts w:ascii="Fujitsu Infinity Pro Bold" w:hAnsi="Fujitsu Infinity Pro Bold"/>
          <w:sz w:val="20"/>
        </w:rPr>
      </w:pPr>
      <w:r w:rsidRPr="00320956">
        <w:rPr>
          <w:rFonts w:ascii="Fujitsu Infinity Pro Bold" w:hAnsi="Fujitsu Infinity Pro Bold"/>
          <w:sz w:val="20"/>
        </w:rPr>
        <w:t>PRIMEFLEX for Nutanix Enterprise Cloud</w:t>
      </w:r>
      <w:r w:rsidR="0039598D">
        <w:rPr>
          <w:rFonts w:ascii="Fujitsu Infinity Pro Bold" w:hAnsi="Fujitsu Infinity Pro Bold"/>
          <w:sz w:val="20"/>
        </w:rPr>
        <w:t xml:space="preserve"> </w:t>
      </w:r>
      <w:r w:rsidR="0039598D" w:rsidRPr="003F0791">
        <w:rPr>
          <w:rFonts w:ascii="Fujitsu Infinity Pro Bold" w:hAnsi="Fujitsu Infinity Pro Bold"/>
          <w:sz w:val="20"/>
        </w:rPr>
        <w:t>simplif</w:t>
      </w:r>
      <w:r w:rsidR="0039598D">
        <w:rPr>
          <w:rFonts w:ascii="Fujitsu Infinity Pro Bold" w:hAnsi="Fujitsu Infinity Pro Bold"/>
          <w:sz w:val="20"/>
        </w:rPr>
        <w:t>ies the</w:t>
      </w:r>
      <w:r w:rsidR="0039598D" w:rsidRPr="003F0791">
        <w:rPr>
          <w:rFonts w:ascii="Fujitsu Infinity Pro Bold" w:hAnsi="Fujitsu Infinity Pro Bold"/>
          <w:sz w:val="20"/>
        </w:rPr>
        <w:t xml:space="preserve"> deployment across edge-core-cloud</w:t>
      </w:r>
    </w:p>
    <w:p w14:paraId="6CA80092" w14:textId="42B1A681" w:rsidR="007B1A6D" w:rsidRPr="00C5073C" w:rsidRDefault="0039598D" w:rsidP="007B1A6D">
      <w:pPr>
        <w:spacing w:after="0"/>
        <w:rPr>
          <w:sz w:val="20"/>
        </w:rPr>
      </w:pPr>
      <w:r w:rsidRPr="00C5073C">
        <w:rPr>
          <w:sz w:val="20"/>
        </w:rPr>
        <w:t>To</w:t>
      </w:r>
      <w:r w:rsidR="007B1A6D" w:rsidRPr="00C5073C">
        <w:rPr>
          <w:sz w:val="20"/>
        </w:rPr>
        <w:t xml:space="preserve"> activate parallel streaming, our customers using VMware </w:t>
      </w:r>
      <w:proofErr w:type="spellStart"/>
      <w:r w:rsidR="007B1A6D" w:rsidRPr="00C5073C">
        <w:rPr>
          <w:sz w:val="20"/>
        </w:rPr>
        <w:t>ESXi</w:t>
      </w:r>
      <w:proofErr w:type="spellEnd"/>
      <w:r w:rsidR="007B1A6D" w:rsidRPr="00C5073C">
        <w:rPr>
          <w:sz w:val="20"/>
        </w:rPr>
        <w:t xml:space="preserve"> on Nutanix have to install one of the Veeam Proxy VMs on each physical node of the vSphere Cluster. The case changes if the customer runs the Nutanix Acropolis Hypervisor (AHV) based cluster. In this case, the Veeam Proxy VM is installed as a single instance in the AHV cluster. </w:t>
      </w:r>
    </w:p>
    <w:p w14:paraId="6B07EC20" w14:textId="77777777" w:rsidR="007B1A6D" w:rsidRPr="007B1A6D" w:rsidRDefault="007B1A6D" w:rsidP="007B1A6D"/>
    <w:p w14:paraId="2C932971" w14:textId="4F0BA629" w:rsidR="00154B72" w:rsidRDefault="00B20B36" w:rsidP="00154B72">
      <w:pPr>
        <w:pStyle w:val="Heading1"/>
        <w:rPr>
          <w:sz w:val="26"/>
          <w:szCs w:val="26"/>
        </w:rPr>
      </w:pPr>
      <w:bookmarkStart w:id="7" w:name="_Toc115389252"/>
      <w:r>
        <w:rPr>
          <w:sz w:val="26"/>
          <w:szCs w:val="26"/>
        </w:rPr>
        <w:lastRenderedPageBreak/>
        <w:t xml:space="preserve">Perfect combination: Nutanix Mine with Veeam on </w:t>
      </w:r>
      <w:r w:rsidR="00D04349">
        <w:rPr>
          <w:sz w:val="26"/>
          <w:szCs w:val="26"/>
        </w:rPr>
        <w:t>Fujitsu</w:t>
      </w:r>
      <w:r>
        <w:rPr>
          <w:sz w:val="26"/>
          <w:szCs w:val="26"/>
        </w:rPr>
        <w:t xml:space="preserve"> XF systems</w:t>
      </w:r>
      <w:bookmarkEnd w:id="7"/>
    </w:p>
    <w:p w14:paraId="1FFA0391" w14:textId="23D5AD74" w:rsidR="007B6119" w:rsidRPr="00A506B3" w:rsidRDefault="00B225A2" w:rsidP="007B6119">
      <w:pPr>
        <w:spacing w:after="0"/>
        <w:rPr>
          <w:rFonts w:ascii="Fujitsu Infinity Pro Bold" w:hAnsi="Fujitsu Infinity Pro Bold"/>
          <w:sz w:val="20"/>
        </w:rPr>
      </w:pPr>
      <w:r w:rsidRPr="00A506B3">
        <w:rPr>
          <w:noProof/>
          <w:sz w:val="20"/>
        </w:rPr>
        <w:drawing>
          <wp:anchor distT="0" distB="0" distL="114300" distR="114300" simplePos="0" relativeHeight="251634176" behindDoc="0" locked="0" layoutInCell="1" allowOverlap="1" wp14:anchorId="7A782F1C" wp14:editId="0EF2510C">
            <wp:simplePos x="0" y="0"/>
            <wp:positionH relativeFrom="column">
              <wp:posOffset>5032375</wp:posOffset>
            </wp:positionH>
            <wp:positionV relativeFrom="paragraph">
              <wp:posOffset>45143</wp:posOffset>
            </wp:positionV>
            <wp:extent cx="1502410" cy="395605"/>
            <wp:effectExtent l="0" t="0" r="2540" b="4445"/>
            <wp:wrapSquare wrapText="bothSides"/>
            <wp:docPr id="11" name="Grafik 10">
              <a:extLst xmlns:a="http://schemas.openxmlformats.org/drawingml/2006/main">
                <a:ext uri="{FF2B5EF4-FFF2-40B4-BE49-F238E27FC236}">
                  <a16:creationId xmlns:a16="http://schemas.microsoft.com/office/drawing/2014/main" id="{4A6269F9-4580-4EFC-BC2C-72720C900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4A6269F9-4580-4EFC-BC2C-72720C900543}"/>
                        </a:ext>
                      </a:extLst>
                    </pic:cNvPr>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a:xfrm>
                      <a:off x="0" y="0"/>
                      <a:ext cx="1502410" cy="395605"/>
                    </a:xfrm>
                    <a:prstGeom prst="rect">
                      <a:avLst/>
                    </a:prstGeom>
                  </pic:spPr>
                </pic:pic>
              </a:graphicData>
            </a:graphic>
          </wp:anchor>
        </w:drawing>
      </w:r>
      <w:r w:rsidR="007B6119" w:rsidRPr="00A506B3">
        <w:rPr>
          <w:rFonts w:ascii="Fujitsu Infinity Pro Bold" w:hAnsi="Fujitsu Infinity Pro Bold"/>
          <w:sz w:val="20"/>
        </w:rPr>
        <w:t xml:space="preserve">Nutanix Mine </w:t>
      </w:r>
      <w:r w:rsidR="0039598D">
        <w:rPr>
          <w:rFonts w:ascii="Fujitsu Infinity Pro Bold" w:hAnsi="Fujitsu Infinity Pro Bold"/>
          <w:sz w:val="20"/>
        </w:rPr>
        <w:t xml:space="preserve">deployed </w:t>
      </w:r>
      <w:r w:rsidR="007B6119" w:rsidRPr="00A506B3">
        <w:rPr>
          <w:rFonts w:ascii="Fujitsu Infinity Pro Bold" w:hAnsi="Fujitsu Infinity Pro Bold"/>
          <w:sz w:val="20"/>
        </w:rPr>
        <w:t>as a Nutanix data protection appliance</w:t>
      </w:r>
    </w:p>
    <w:p w14:paraId="55678287" w14:textId="6DC9B53B" w:rsidR="007B6119" w:rsidRDefault="0039598D" w:rsidP="007B6119">
      <w:pPr>
        <w:spacing w:after="0"/>
        <w:rPr>
          <w:sz w:val="20"/>
        </w:rPr>
      </w:pPr>
      <w:r>
        <w:rPr>
          <w:sz w:val="20"/>
        </w:rPr>
        <w:t xml:space="preserve">In addition to the integration of </w:t>
      </w:r>
      <w:r w:rsidR="007B6119" w:rsidRPr="00A506B3">
        <w:rPr>
          <w:sz w:val="20"/>
        </w:rPr>
        <w:t xml:space="preserve">the Veeam </w:t>
      </w:r>
      <w:r w:rsidR="002C3F3E">
        <w:rPr>
          <w:sz w:val="20"/>
        </w:rPr>
        <w:t>c</w:t>
      </w:r>
      <w:r w:rsidR="007B6119" w:rsidRPr="00A506B3">
        <w:rPr>
          <w:sz w:val="20"/>
        </w:rPr>
        <w:t>onsole into Nutanix PRISM / PRISM Pro management GUI, Veeam and Nutanix have developed a data protection solution that can use the AHV cluster technology as a target appliance. This joint appliance is called Nutanix Mine. The beauty of this lies in the high levels of backup automation: PRISM/PRISM Pro will “understand” when new workloads (and accompanying data assets) are being generated on the primary AHV cluster and will automatically include these into the existing backup process.</w:t>
      </w:r>
      <w:r w:rsidR="007B6119">
        <w:rPr>
          <w:sz w:val="20"/>
        </w:rPr>
        <w:t xml:space="preserve"> </w:t>
      </w:r>
    </w:p>
    <w:p w14:paraId="7F075F5D" w14:textId="77777777" w:rsidR="007B6119" w:rsidRDefault="007B6119" w:rsidP="007B6119">
      <w:pPr>
        <w:spacing w:after="0"/>
        <w:rPr>
          <w:sz w:val="20"/>
        </w:rPr>
      </w:pPr>
    </w:p>
    <w:p w14:paraId="58E26952" w14:textId="42146DF4" w:rsidR="007B6119" w:rsidRPr="00675660" w:rsidRDefault="00290F8E" w:rsidP="007B6119">
      <w:pPr>
        <w:spacing w:after="0"/>
        <w:rPr>
          <w:rFonts w:ascii="Fujitsu Infinity Pro Bold" w:hAnsi="Fujitsu Infinity Pro Bold"/>
          <w:sz w:val="20"/>
        </w:rPr>
      </w:pPr>
      <w:r>
        <w:rPr>
          <w:rFonts w:ascii="Fujitsu Infinity Pro Bold" w:hAnsi="Fujitsu Infinity Pro Bold"/>
          <w:sz w:val="20"/>
        </w:rPr>
        <w:t xml:space="preserve">Configurations of </w:t>
      </w:r>
      <w:r w:rsidR="007B6119" w:rsidRPr="00675660">
        <w:rPr>
          <w:rFonts w:ascii="Fujitsu Infinity Pro Bold" w:hAnsi="Fujitsu Infinity Pro Bold"/>
          <w:sz w:val="20"/>
        </w:rPr>
        <w:t xml:space="preserve">Nutanix Mine </w:t>
      </w:r>
      <w:r>
        <w:rPr>
          <w:rFonts w:ascii="Fujitsu Infinity Pro Bold" w:hAnsi="Fujitsu Infinity Pro Bold"/>
          <w:sz w:val="20"/>
        </w:rPr>
        <w:t xml:space="preserve">available </w:t>
      </w:r>
      <w:r w:rsidR="007B6119" w:rsidRPr="00675660">
        <w:rPr>
          <w:rFonts w:ascii="Fujitsu Infinity Pro Bold" w:hAnsi="Fujitsu Infinity Pro Bold"/>
          <w:sz w:val="20"/>
        </w:rPr>
        <w:t xml:space="preserve">on Nutanix-certified XF systems </w:t>
      </w:r>
    </w:p>
    <w:p w14:paraId="00EF566B" w14:textId="595D529E" w:rsidR="007B6119" w:rsidRPr="00A506B3" w:rsidRDefault="007B6119" w:rsidP="007B6119">
      <w:pPr>
        <w:spacing w:after="0"/>
        <w:rPr>
          <w:sz w:val="20"/>
        </w:rPr>
      </w:pPr>
      <w:r w:rsidRPr="00A506B3">
        <w:rPr>
          <w:sz w:val="20"/>
        </w:rPr>
        <w:t xml:space="preserve">As part of Fujitsu PRIMEFLEX, Nutanix Mine is available on Nutanix-certified XF systems (Fujitsu Integrated System PRIMEFLEX for Nutanix Enterprise Cloud), starting with a minimum of four nodes. Fujitsu supports several configurations for running Mine with Veeam depending on your needs. As a comprehensive data protection and management solution that includes all the hardware and software components required to support any virtualized or legacy environment, Nutanix Mine with Veeam enables granular data backup and recovery for all applications. It brings the simplicity and scale of Nutanix Cloud Platform and Veeam’s </w:t>
      </w:r>
      <w:r w:rsidR="002C3F3E">
        <w:rPr>
          <w:sz w:val="20"/>
        </w:rPr>
        <w:t>e</w:t>
      </w:r>
      <w:r w:rsidRPr="00A506B3">
        <w:rPr>
          <w:sz w:val="20"/>
        </w:rPr>
        <w:t>nterprise backup and cloud data management capabilities to address customers’ backup, long-term retention, and archiving needs.</w:t>
      </w:r>
    </w:p>
    <w:p w14:paraId="7855028E" w14:textId="77777777" w:rsidR="007B1A6D" w:rsidRPr="007B1A6D" w:rsidRDefault="007B1A6D" w:rsidP="007B1A6D"/>
    <w:p w14:paraId="4E0D39C3" w14:textId="019C6F83" w:rsidR="00154B72" w:rsidRDefault="00B20B36" w:rsidP="00154B72">
      <w:pPr>
        <w:pStyle w:val="Heading1"/>
        <w:rPr>
          <w:sz w:val="26"/>
          <w:szCs w:val="26"/>
        </w:rPr>
      </w:pPr>
      <w:bookmarkStart w:id="8" w:name="_Toc115389253"/>
      <w:r>
        <w:rPr>
          <w:sz w:val="26"/>
          <w:szCs w:val="26"/>
        </w:rPr>
        <w:t>What makes Veeam a perfect fit for SAP solutions?</w:t>
      </w:r>
      <w:bookmarkEnd w:id="8"/>
    </w:p>
    <w:p w14:paraId="7606ADF0" w14:textId="75AE336B" w:rsidR="004A5A69" w:rsidRPr="007C30B0" w:rsidRDefault="00290F8E" w:rsidP="004A5A69">
      <w:pPr>
        <w:spacing w:after="0"/>
        <w:rPr>
          <w:rFonts w:ascii="Fujitsu Infinity Pro Bold" w:hAnsi="Fujitsu Infinity Pro Bold"/>
          <w:sz w:val="20"/>
        </w:rPr>
      </w:pPr>
      <w:r>
        <w:rPr>
          <w:rFonts w:ascii="Fujitsu Infinity Pro Bold" w:hAnsi="Fujitsu Infinity Pro Bold"/>
          <w:sz w:val="20"/>
        </w:rPr>
        <w:t xml:space="preserve">Optimize your SAP infrastructure with </w:t>
      </w:r>
      <w:r w:rsidR="004A5A69" w:rsidRPr="007C30B0">
        <w:rPr>
          <w:rFonts w:ascii="Fujitsu Infinity Pro Bold" w:hAnsi="Fujitsu Infinity Pro Bold"/>
          <w:sz w:val="20"/>
        </w:rPr>
        <w:t>PRIMEFLEX for SAP HANA</w:t>
      </w:r>
    </w:p>
    <w:p w14:paraId="794BC765" w14:textId="0E971C27" w:rsidR="004A5A69" w:rsidRPr="007C30B0" w:rsidRDefault="004A5A69" w:rsidP="004A5A69">
      <w:pPr>
        <w:rPr>
          <w:sz w:val="20"/>
        </w:rPr>
      </w:pPr>
      <w:r w:rsidRPr="007C30B0">
        <w:rPr>
          <w:sz w:val="20"/>
        </w:rPr>
        <w:t xml:space="preserve">Veeam® provides </w:t>
      </w:r>
      <w:r w:rsidR="00070CFE" w:rsidRPr="007C30B0">
        <w:rPr>
          <w:sz w:val="20"/>
        </w:rPr>
        <w:t>an</w:t>
      </w:r>
      <w:r w:rsidRPr="007C30B0">
        <w:rPr>
          <w:sz w:val="20"/>
        </w:rPr>
        <w:t xml:space="preserve"> SAP-certified backup and recovery solution, Veeam Plug-in for SAP HANA, which allows enterprise customers to seamlessly integrate native SAP HANA </w:t>
      </w:r>
      <w:proofErr w:type="spellStart"/>
      <w:r w:rsidRPr="007C30B0">
        <w:rPr>
          <w:sz w:val="20"/>
        </w:rPr>
        <w:t>backint</w:t>
      </w:r>
      <w:proofErr w:type="spellEnd"/>
      <w:r w:rsidRPr="007C30B0">
        <w:rPr>
          <w:sz w:val="20"/>
        </w:rPr>
        <w:t xml:space="preserve"> backups with the industry-leading Veeam Backup &amp; Replication™ solution. Organizations can optimally back up their mission-critical, performance-sensitive SAP HANA environments so they can better address the high demands </w:t>
      </w:r>
      <w:r w:rsidR="00692D59" w:rsidRPr="00692D59">
        <w:rPr>
          <w:sz w:val="20"/>
        </w:rPr>
        <w:t>on the availability of applications and data</w:t>
      </w:r>
      <w:r w:rsidRPr="007C30B0">
        <w:rPr>
          <w:sz w:val="20"/>
        </w:rPr>
        <w:t>.</w:t>
      </w:r>
      <w:r>
        <w:rPr>
          <w:sz w:val="20"/>
        </w:rPr>
        <w:t xml:space="preserve"> </w:t>
      </w:r>
      <w:r w:rsidRPr="007C30B0">
        <w:rPr>
          <w:sz w:val="20"/>
        </w:rPr>
        <w:t>With the Veeam Plug-in for SAP HANA you can easily:</w:t>
      </w:r>
    </w:p>
    <w:p w14:paraId="6B2D6D97" w14:textId="77777777" w:rsidR="004A5A69" w:rsidRPr="00290F8E" w:rsidRDefault="004A5A69" w:rsidP="00290F8E">
      <w:pPr>
        <w:pStyle w:val="BulletsLevel1"/>
        <w:spacing w:after="0"/>
        <w:ind w:left="351" w:hanging="215"/>
        <w:rPr>
          <w:sz w:val="20"/>
          <w:szCs w:val="22"/>
        </w:rPr>
      </w:pPr>
      <w:r w:rsidRPr="00290F8E">
        <w:rPr>
          <w:sz w:val="20"/>
          <w:szCs w:val="22"/>
        </w:rPr>
        <w:t>Protect SAP HANA natively with SAP HANA tools including Studio, Cockpit and SQL commands</w:t>
      </w:r>
    </w:p>
    <w:p w14:paraId="48D23C75" w14:textId="77777777" w:rsidR="004A5A69" w:rsidRPr="00290F8E" w:rsidRDefault="004A5A69" w:rsidP="00290F8E">
      <w:pPr>
        <w:pStyle w:val="BulletsLevel1"/>
        <w:spacing w:after="0"/>
        <w:ind w:left="351" w:hanging="215"/>
        <w:rPr>
          <w:sz w:val="20"/>
          <w:szCs w:val="22"/>
        </w:rPr>
      </w:pPr>
      <w:r w:rsidRPr="00290F8E">
        <w:rPr>
          <w:sz w:val="20"/>
          <w:szCs w:val="22"/>
        </w:rPr>
        <w:t xml:space="preserve">Process backup logs according to your log backup interval with </w:t>
      </w:r>
      <w:proofErr w:type="spellStart"/>
      <w:r w:rsidRPr="00290F8E">
        <w:rPr>
          <w:sz w:val="20"/>
          <w:szCs w:val="22"/>
        </w:rPr>
        <w:t>Backint</w:t>
      </w:r>
      <w:proofErr w:type="spellEnd"/>
      <w:r w:rsidRPr="00290F8E">
        <w:rPr>
          <w:sz w:val="20"/>
          <w:szCs w:val="22"/>
        </w:rPr>
        <w:t xml:space="preserve"> integration</w:t>
      </w:r>
    </w:p>
    <w:p w14:paraId="44661F0F" w14:textId="77777777" w:rsidR="004A5A69" w:rsidRPr="00290F8E" w:rsidRDefault="004A5A69" w:rsidP="00290F8E">
      <w:pPr>
        <w:pStyle w:val="BulletsLevel1"/>
        <w:spacing w:after="0"/>
        <w:ind w:left="351" w:hanging="215"/>
        <w:rPr>
          <w:sz w:val="20"/>
          <w:szCs w:val="22"/>
        </w:rPr>
      </w:pPr>
      <w:r w:rsidRPr="00290F8E">
        <w:rPr>
          <w:sz w:val="20"/>
          <w:szCs w:val="22"/>
        </w:rPr>
        <w:t>Perform recovery using native SAP HANA tools that require no special training for DBAs</w:t>
      </w:r>
    </w:p>
    <w:p w14:paraId="701523AE" w14:textId="18696CFD" w:rsidR="004A5A69" w:rsidRDefault="00290F8E" w:rsidP="008D065C">
      <w:pPr>
        <w:spacing w:after="0"/>
        <w:rPr>
          <w:sz w:val="20"/>
        </w:rPr>
      </w:pPr>
      <w:r>
        <w:rPr>
          <w:sz w:val="20"/>
        </w:rPr>
        <w:t>Discover detailed</w:t>
      </w:r>
      <w:r w:rsidR="004A5A69" w:rsidRPr="007C30B0">
        <w:rPr>
          <w:sz w:val="20"/>
        </w:rPr>
        <w:t xml:space="preserve"> information on </w:t>
      </w:r>
      <w:hyperlink r:id="rId30" w:history="1">
        <w:r w:rsidR="004A5A69" w:rsidRPr="007C30B0">
          <w:rPr>
            <w:rStyle w:val="Hyperlink"/>
            <w:sz w:val="20"/>
          </w:rPr>
          <w:t>Veeam.com</w:t>
        </w:r>
      </w:hyperlink>
      <w:r w:rsidR="004A5A69" w:rsidRPr="007C30B0">
        <w:rPr>
          <w:sz w:val="20"/>
        </w:rPr>
        <w:t xml:space="preserve">: </w:t>
      </w:r>
      <w:hyperlink r:id="rId31" w:history="1">
        <w:r w:rsidR="004A5A69" w:rsidRPr="007C30B0">
          <w:rPr>
            <w:rStyle w:val="Hyperlink"/>
            <w:sz w:val="20"/>
          </w:rPr>
          <w:t>Solution Brief: Veeam Plug-in for SAP HANA</w:t>
        </w:r>
      </w:hyperlink>
      <w:r w:rsidR="004A5A69">
        <w:rPr>
          <w:sz w:val="20"/>
        </w:rPr>
        <w:t xml:space="preserve"> </w:t>
      </w:r>
      <w:r w:rsidR="004A5A69" w:rsidRPr="007C30B0">
        <w:rPr>
          <w:sz w:val="20"/>
        </w:rPr>
        <w:t>/</w:t>
      </w:r>
      <w:r w:rsidR="004A5A69">
        <w:rPr>
          <w:sz w:val="20"/>
        </w:rPr>
        <w:t xml:space="preserve"> </w:t>
      </w:r>
      <w:hyperlink r:id="rId32" w:history="1">
        <w:r w:rsidR="00D04349">
          <w:rPr>
            <w:rStyle w:val="Hyperlink"/>
            <w:sz w:val="20"/>
          </w:rPr>
          <w:t>White paper</w:t>
        </w:r>
        <w:r w:rsidR="004A5A69" w:rsidRPr="007C30B0">
          <w:rPr>
            <w:rStyle w:val="Hyperlink"/>
            <w:sz w:val="20"/>
          </w:rPr>
          <w:t>: Veeam SAP HANA Availability Guide</w:t>
        </w:r>
      </w:hyperlink>
      <w:r w:rsidR="004A5A69" w:rsidRPr="007C30B0">
        <w:rPr>
          <w:sz w:val="20"/>
        </w:rPr>
        <w:t xml:space="preserve"> </w:t>
      </w:r>
    </w:p>
    <w:p w14:paraId="0CE0E8CA" w14:textId="77777777" w:rsidR="00171242" w:rsidRPr="00171242" w:rsidRDefault="00171242" w:rsidP="008D065C">
      <w:pPr>
        <w:spacing w:after="0"/>
        <w:rPr>
          <w:szCs w:val="22"/>
        </w:rPr>
      </w:pPr>
    </w:p>
    <w:p w14:paraId="15D036AD" w14:textId="2E84EA1E" w:rsidR="00505FF6" w:rsidRDefault="00B20B36" w:rsidP="002D52F7">
      <w:pPr>
        <w:pStyle w:val="Heading1"/>
        <w:rPr>
          <w:sz w:val="26"/>
          <w:szCs w:val="26"/>
        </w:rPr>
      </w:pPr>
      <w:bookmarkStart w:id="9" w:name="_Toc115389254"/>
      <w:r w:rsidRPr="00505FF6">
        <w:rPr>
          <w:sz w:val="26"/>
          <w:szCs w:val="26"/>
        </w:rPr>
        <w:t xml:space="preserve">What different </w:t>
      </w:r>
      <w:r w:rsidR="00001EEA">
        <w:rPr>
          <w:sz w:val="26"/>
          <w:szCs w:val="26"/>
        </w:rPr>
        <w:t>a</w:t>
      </w:r>
      <w:r w:rsidRPr="00505FF6">
        <w:rPr>
          <w:sz w:val="26"/>
          <w:szCs w:val="26"/>
        </w:rPr>
        <w:t>ppliances are available for PRIMEFLEX environments?</w:t>
      </w:r>
      <w:bookmarkEnd w:id="9"/>
    </w:p>
    <w:p w14:paraId="16BEACEE" w14:textId="41279E06" w:rsidR="00505FF6" w:rsidRPr="00290F8E" w:rsidRDefault="00505FF6" w:rsidP="00290F8E">
      <w:pPr>
        <w:pStyle w:val="BulletsLevel1"/>
        <w:numPr>
          <w:ilvl w:val="0"/>
          <w:numId w:val="0"/>
        </w:numPr>
        <w:rPr>
          <w:rFonts w:ascii="Fujitsu Infinity Pro Bold" w:hAnsi="Fujitsu Infinity Pro Bold"/>
          <w:sz w:val="20"/>
        </w:rPr>
      </w:pPr>
      <w:r w:rsidRPr="00290F8E">
        <w:rPr>
          <w:rFonts w:ascii="Fujitsu Infinity Pro Bold" w:hAnsi="Fujitsu Infinity Pro Bold"/>
          <w:sz w:val="20"/>
        </w:rPr>
        <w:t xml:space="preserve">Fujitsu Storage ETERNUS CS800 </w:t>
      </w:r>
      <w:r w:rsidR="0024446F">
        <w:rPr>
          <w:rFonts w:ascii="Fujitsu Infinity Pro Bold" w:hAnsi="Fujitsu Infinity Pro Bold"/>
          <w:sz w:val="20"/>
        </w:rPr>
        <w:t>is a t</w:t>
      </w:r>
      <w:r w:rsidRPr="00290F8E">
        <w:rPr>
          <w:rFonts w:ascii="Fujitsu Infinity Pro Bold" w:hAnsi="Fujitsu Infinity Pro Bold"/>
          <w:sz w:val="20"/>
        </w:rPr>
        <w:t xml:space="preserve">arget </w:t>
      </w:r>
      <w:r w:rsidR="0024446F">
        <w:rPr>
          <w:rFonts w:ascii="Fujitsu Infinity Pro Bold" w:hAnsi="Fujitsu Infinity Pro Bold"/>
          <w:sz w:val="20"/>
        </w:rPr>
        <w:t>a</w:t>
      </w:r>
      <w:r w:rsidRPr="00290F8E">
        <w:rPr>
          <w:rFonts w:ascii="Fujitsu Infinity Pro Bold" w:hAnsi="Fujitsu Infinity Pro Bold"/>
          <w:sz w:val="20"/>
        </w:rPr>
        <w:t xml:space="preserve">ppliance for </w:t>
      </w:r>
      <w:r w:rsidR="0024446F">
        <w:rPr>
          <w:rFonts w:ascii="Fujitsu Infinity Pro Bold" w:hAnsi="Fujitsu Infinity Pro Bold"/>
          <w:sz w:val="20"/>
        </w:rPr>
        <w:t>b</w:t>
      </w:r>
      <w:r w:rsidRPr="00290F8E">
        <w:rPr>
          <w:rFonts w:ascii="Fujitsu Infinity Pro Bold" w:hAnsi="Fujitsu Infinity Pro Bold"/>
          <w:sz w:val="20"/>
        </w:rPr>
        <w:t>ackup</w:t>
      </w:r>
    </w:p>
    <w:p w14:paraId="2BFCDE36" w14:textId="23C3C559" w:rsidR="00505FF6" w:rsidRPr="005927FD" w:rsidRDefault="00505FF6" w:rsidP="00505FF6">
      <w:pPr>
        <w:rPr>
          <w:sz w:val="20"/>
        </w:rPr>
      </w:pPr>
      <w:r w:rsidRPr="005927FD">
        <w:rPr>
          <w:sz w:val="20"/>
        </w:rPr>
        <w:t xml:space="preserve">The ETERNUS CS800 is a turnkey, easy to operate backup-to-disk </w:t>
      </w:r>
      <w:r w:rsidR="002C3F3E">
        <w:rPr>
          <w:sz w:val="20"/>
        </w:rPr>
        <w:t>a</w:t>
      </w:r>
      <w:r w:rsidRPr="005927FD">
        <w:rPr>
          <w:sz w:val="20"/>
        </w:rPr>
        <w:t>ppliance supporting all market-relevant backup suites</w:t>
      </w:r>
      <w:r w:rsidR="00290F8E">
        <w:rPr>
          <w:sz w:val="20"/>
        </w:rPr>
        <w:t xml:space="preserve"> providing the following benefits: </w:t>
      </w:r>
    </w:p>
    <w:p w14:paraId="1EE5767D" w14:textId="0F56AF81" w:rsidR="00505FF6" w:rsidRPr="00290F8E" w:rsidRDefault="00505FF6" w:rsidP="00290F8E">
      <w:pPr>
        <w:pStyle w:val="BulletsLevel1"/>
        <w:rPr>
          <w:sz w:val="20"/>
          <w:szCs w:val="22"/>
        </w:rPr>
      </w:pPr>
      <w:r w:rsidRPr="00290F8E">
        <w:rPr>
          <w:sz w:val="20"/>
          <w:szCs w:val="22"/>
        </w:rPr>
        <w:t>Leading deduplication technology reduces disk capacity by up to 95%, saving tremendous storage and environmental cost</w:t>
      </w:r>
      <w:r w:rsidR="00290F8E">
        <w:rPr>
          <w:sz w:val="20"/>
          <w:szCs w:val="22"/>
        </w:rPr>
        <w:t>.</w:t>
      </w:r>
    </w:p>
    <w:p w14:paraId="63FF6E14" w14:textId="5EF4D17E" w:rsidR="00505FF6" w:rsidRPr="00290F8E" w:rsidRDefault="00505FF6" w:rsidP="00290F8E">
      <w:pPr>
        <w:pStyle w:val="BulletsLevel1"/>
        <w:rPr>
          <w:sz w:val="20"/>
          <w:szCs w:val="22"/>
        </w:rPr>
      </w:pPr>
      <w:r w:rsidRPr="00290F8E">
        <w:rPr>
          <w:sz w:val="20"/>
          <w:szCs w:val="22"/>
        </w:rPr>
        <w:t>Veeam Data Mover Service</w:t>
      </w:r>
      <w:r w:rsidR="00290F8E">
        <w:rPr>
          <w:sz w:val="20"/>
          <w:szCs w:val="22"/>
        </w:rPr>
        <w:t xml:space="preserve"> (</w:t>
      </w:r>
      <w:r w:rsidR="00290F8E" w:rsidRPr="00290F8E">
        <w:rPr>
          <w:sz w:val="20"/>
          <w:szCs w:val="22"/>
        </w:rPr>
        <w:t>VDMS</w:t>
      </w:r>
      <w:r w:rsidRPr="00290F8E">
        <w:rPr>
          <w:sz w:val="20"/>
          <w:szCs w:val="22"/>
        </w:rPr>
        <w:t>) is already pre-installed and can be activated by purchasing the accompanying license key</w:t>
      </w:r>
      <w:r w:rsidR="00290F8E">
        <w:rPr>
          <w:sz w:val="20"/>
          <w:szCs w:val="22"/>
        </w:rPr>
        <w:t xml:space="preserve"> and reduces infrastructure cost.</w:t>
      </w:r>
    </w:p>
    <w:p w14:paraId="592ED8D8" w14:textId="324A18CF" w:rsidR="00505FF6" w:rsidRPr="00290F8E" w:rsidRDefault="00505FF6" w:rsidP="00290F8E">
      <w:pPr>
        <w:pStyle w:val="BulletsLevel1"/>
        <w:rPr>
          <w:sz w:val="20"/>
          <w:szCs w:val="22"/>
        </w:rPr>
      </w:pPr>
      <w:r w:rsidRPr="00290F8E">
        <w:rPr>
          <w:sz w:val="20"/>
          <w:szCs w:val="22"/>
        </w:rPr>
        <w:t xml:space="preserve">Disaster </w:t>
      </w:r>
      <w:r w:rsidR="0024446F">
        <w:rPr>
          <w:sz w:val="20"/>
          <w:szCs w:val="22"/>
        </w:rPr>
        <w:t>r</w:t>
      </w:r>
      <w:r w:rsidRPr="00290F8E">
        <w:rPr>
          <w:sz w:val="20"/>
          <w:szCs w:val="22"/>
        </w:rPr>
        <w:t>ecovery capabilities through optimized replication (NAS and VTL) protect your business-critical data ensuring business continuity</w:t>
      </w:r>
      <w:r w:rsidR="0024446F">
        <w:rPr>
          <w:sz w:val="20"/>
          <w:szCs w:val="22"/>
        </w:rPr>
        <w:t>.</w:t>
      </w:r>
    </w:p>
    <w:p w14:paraId="5661C046" w14:textId="314EF0CB" w:rsidR="0024446F" w:rsidRPr="00360DD4" w:rsidRDefault="0024446F" w:rsidP="0024446F">
      <w:pPr>
        <w:pStyle w:val="FJBreakoutSubheadline1"/>
        <w:rPr>
          <w:rFonts w:ascii="Fujitsu Infinity Pro" w:hAnsi="Fujitsu Infinity Pro"/>
        </w:rPr>
      </w:pPr>
      <w:r>
        <w:rPr>
          <w:rFonts w:ascii="Fujitsu Infinity Pro" w:hAnsi="Fujitsu Infinity Pro"/>
        </w:rPr>
        <w:t>The ETERNUS CS800 fits best for:</w:t>
      </w:r>
    </w:p>
    <w:p w14:paraId="7662DDDB" w14:textId="1AE3426D" w:rsidR="00505FF6" w:rsidRPr="00A413F9" w:rsidRDefault="00505FF6" w:rsidP="00A413F9">
      <w:pPr>
        <w:pStyle w:val="BulletsLevel1"/>
        <w:rPr>
          <w:sz w:val="20"/>
          <w:szCs w:val="22"/>
        </w:rPr>
      </w:pPr>
      <w:r w:rsidRPr="00A413F9">
        <w:rPr>
          <w:sz w:val="20"/>
          <w:szCs w:val="22"/>
        </w:rPr>
        <w:t xml:space="preserve">Backup of PRIMEFLEX environments for branch offices, for </w:t>
      </w:r>
      <w:r w:rsidR="00692D59" w:rsidRPr="00A413F9">
        <w:rPr>
          <w:sz w:val="20"/>
          <w:szCs w:val="22"/>
        </w:rPr>
        <w:t xml:space="preserve">small, </w:t>
      </w:r>
      <w:r w:rsidR="00692D59">
        <w:rPr>
          <w:sz w:val="20"/>
          <w:szCs w:val="22"/>
        </w:rPr>
        <w:t>medium</w:t>
      </w:r>
      <w:r w:rsidRPr="00A413F9">
        <w:rPr>
          <w:sz w:val="20"/>
          <w:szCs w:val="22"/>
        </w:rPr>
        <w:t xml:space="preserve"> and upper medium customers </w:t>
      </w:r>
    </w:p>
    <w:p w14:paraId="49E61990" w14:textId="77777777" w:rsidR="00505FF6" w:rsidRPr="00A413F9" w:rsidRDefault="00505FF6" w:rsidP="00A413F9">
      <w:pPr>
        <w:pStyle w:val="BulletsLevel1"/>
        <w:rPr>
          <w:sz w:val="20"/>
          <w:szCs w:val="22"/>
        </w:rPr>
      </w:pPr>
      <w:r w:rsidRPr="00A413F9">
        <w:rPr>
          <w:sz w:val="20"/>
          <w:szCs w:val="22"/>
        </w:rPr>
        <w:t xml:space="preserve">Daily backups starting small and ranging up to 50 TB per day (depending on use case) </w:t>
      </w:r>
    </w:p>
    <w:p w14:paraId="1B6F7EA9" w14:textId="77777777" w:rsidR="00505FF6" w:rsidRPr="005927FD" w:rsidRDefault="00505FF6" w:rsidP="00505FF6">
      <w:pPr>
        <w:spacing w:after="0"/>
        <w:rPr>
          <w:sz w:val="20"/>
        </w:rPr>
      </w:pPr>
    </w:p>
    <w:p w14:paraId="1F5AC89A" w14:textId="2353BBD5" w:rsidR="00505FF6" w:rsidRPr="005927FD" w:rsidRDefault="00505FF6" w:rsidP="00505FF6">
      <w:pPr>
        <w:spacing w:after="0"/>
        <w:rPr>
          <w:rFonts w:ascii="Fujitsu Infinity Pro Bold" w:hAnsi="Fujitsu Infinity Pro Bold"/>
          <w:sz w:val="20"/>
        </w:rPr>
      </w:pPr>
      <w:r w:rsidRPr="005927FD">
        <w:rPr>
          <w:rFonts w:ascii="Fujitsu Infinity Pro Bold" w:hAnsi="Fujitsu Infinity Pro Bold"/>
          <w:sz w:val="20"/>
        </w:rPr>
        <w:lastRenderedPageBreak/>
        <w:t>Long-</w:t>
      </w:r>
      <w:r w:rsidR="0024446F">
        <w:rPr>
          <w:rFonts w:ascii="Fujitsu Infinity Pro Bold" w:hAnsi="Fujitsu Infinity Pro Bold"/>
          <w:sz w:val="20"/>
        </w:rPr>
        <w:t>t</w:t>
      </w:r>
      <w:r w:rsidRPr="005927FD">
        <w:rPr>
          <w:rFonts w:ascii="Fujitsu Infinity Pro Bold" w:hAnsi="Fujitsu Infinity Pro Bold"/>
          <w:sz w:val="20"/>
        </w:rPr>
        <w:t xml:space="preserve">erm </w:t>
      </w:r>
      <w:r w:rsidR="0024446F">
        <w:rPr>
          <w:rFonts w:ascii="Fujitsu Infinity Pro Bold" w:hAnsi="Fujitsu Infinity Pro Bold"/>
          <w:sz w:val="20"/>
        </w:rPr>
        <w:t>d</w:t>
      </w:r>
      <w:r w:rsidRPr="005927FD">
        <w:rPr>
          <w:rFonts w:ascii="Fujitsu Infinity Pro Bold" w:hAnsi="Fujitsu Infinity Pro Bold"/>
          <w:sz w:val="20"/>
        </w:rPr>
        <w:t xml:space="preserve">ata </w:t>
      </w:r>
      <w:r w:rsidR="0024446F">
        <w:rPr>
          <w:rFonts w:ascii="Fujitsu Infinity Pro Bold" w:hAnsi="Fujitsu Infinity Pro Bold"/>
          <w:sz w:val="20"/>
        </w:rPr>
        <w:t>p</w:t>
      </w:r>
      <w:r w:rsidRPr="005927FD">
        <w:rPr>
          <w:rFonts w:ascii="Fujitsu Infinity Pro Bold" w:hAnsi="Fujitsu Infinity Pro Bold"/>
          <w:sz w:val="20"/>
        </w:rPr>
        <w:t xml:space="preserve">rotection with </w:t>
      </w:r>
      <w:r w:rsidR="00416782" w:rsidRPr="00416782">
        <w:rPr>
          <w:rFonts w:ascii="Fujitsu Infinity Pro Bold" w:hAnsi="Fujitsu Infinity Pro Bold"/>
          <w:sz w:val="20"/>
        </w:rPr>
        <w:t>Veeam Data Mover Service</w:t>
      </w:r>
      <w:r w:rsidR="00416782">
        <w:rPr>
          <w:rFonts w:ascii="Fujitsu Infinity Pro Bold" w:hAnsi="Fujitsu Infinity Pro Bold"/>
          <w:sz w:val="20"/>
        </w:rPr>
        <w:t xml:space="preserve"> (VDMS)</w:t>
      </w:r>
    </w:p>
    <w:p w14:paraId="387D9887" w14:textId="5E59A8D4" w:rsidR="00BD5FCB" w:rsidRDefault="00BD5FCB" w:rsidP="00BD5FCB">
      <w:pPr>
        <w:spacing w:after="0"/>
        <w:rPr>
          <w:sz w:val="20"/>
        </w:rPr>
      </w:pPr>
      <w:r w:rsidRPr="00BD5FCB">
        <w:rPr>
          <w:noProof/>
          <w:sz w:val="20"/>
        </w:rPr>
        <w:drawing>
          <wp:anchor distT="0" distB="0" distL="114300" distR="114300" simplePos="0" relativeHeight="251681280" behindDoc="0" locked="0" layoutInCell="1" allowOverlap="1" wp14:anchorId="336D4B8B" wp14:editId="011BF84E">
            <wp:simplePos x="0" y="0"/>
            <wp:positionH relativeFrom="column">
              <wp:posOffset>11430</wp:posOffset>
            </wp:positionH>
            <wp:positionV relativeFrom="paragraph">
              <wp:posOffset>22860</wp:posOffset>
            </wp:positionV>
            <wp:extent cx="1432251" cy="1620000"/>
            <wp:effectExtent l="0" t="0" r="0" b="0"/>
            <wp:wrapSquare wrapText="bothSides"/>
            <wp:docPr id="255" name="Grafik 22">
              <a:extLst xmlns:a="http://schemas.openxmlformats.org/drawingml/2006/main">
                <a:ext uri="{FF2B5EF4-FFF2-40B4-BE49-F238E27FC236}">
                  <a16:creationId xmlns:a16="http://schemas.microsoft.com/office/drawing/2014/main" id="{90598D15-2581-4309-B79C-E63853850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90598D15-2581-4309-B79C-E63853850336}"/>
                        </a:ext>
                      </a:extLst>
                    </pic:cNvPr>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1432251" cy="1620000"/>
                    </a:xfrm>
                    <a:prstGeom prst="rect">
                      <a:avLst/>
                    </a:prstGeom>
                  </pic:spPr>
                </pic:pic>
              </a:graphicData>
            </a:graphic>
            <wp14:sizeRelH relativeFrom="margin">
              <wp14:pctWidth>0</wp14:pctWidth>
            </wp14:sizeRelH>
            <wp14:sizeRelV relativeFrom="margin">
              <wp14:pctHeight>0</wp14:pctHeight>
            </wp14:sizeRelV>
          </wp:anchor>
        </w:drawing>
      </w:r>
      <w:r w:rsidR="00505FF6" w:rsidRPr="005927FD">
        <w:rPr>
          <w:sz w:val="20"/>
        </w:rPr>
        <w:t>Above all, the snapshot integration mentioned above provides an efficient and fast backup and recovery option. The temporary storage of data on the Veeam backup or proxy server based on Fujitsu PRIMERGY servers with very fast block storage (</w:t>
      </w:r>
      <w:r w:rsidR="0024446F" w:rsidRPr="005927FD">
        <w:rPr>
          <w:sz w:val="20"/>
        </w:rPr>
        <w:t>e.g.,</w:t>
      </w:r>
      <w:r w:rsidR="00505FF6" w:rsidRPr="005927FD">
        <w:rPr>
          <w:sz w:val="20"/>
        </w:rPr>
        <w:t xml:space="preserve"> ETERNUS DX) or network shares (ETERNUS CS) allows the special needs of recovery requirements or data volumes to be met. In this combination, the Veeam recovery options can be used. In addition, the </w:t>
      </w:r>
      <w:r w:rsidR="0024446F">
        <w:rPr>
          <w:sz w:val="20"/>
        </w:rPr>
        <w:t>d</w:t>
      </w:r>
      <w:r w:rsidR="00505FF6" w:rsidRPr="005927FD">
        <w:rPr>
          <w:sz w:val="20"/>
        </w:rPr>
        <w:t xml:space="preserve">ata </w:t>
      </w:r>
      <w:r w:rsidR="0024446F">
        <w:rPr>
          <w:sz w:val="20"/>
        </w:rPr>
        <w:t>p</w:t>
      </w:r>
      <w:r w:rsidR="00505FF6" w:rsidRPr="005927FD">
        <w:rPr>
          <w:sz w:val="20"/>
        </w:rPr>
        <w:t>rotection appliances ETERNUS CS800 and ETERNUS CS8000 provide powerful infrastructure solutions for Veeam secondary backup copies.</w:t>
      </w:r>
      <w:r w:rsidR="00505FF6">
        <w:rPr>
          <w:sz w:val="20"/>
        </w:rPr>
        <w:t xml:space="preserve"> </w:t>
      </w:r>
    </w:p>
    <w:p w14:paraId="25137733" w14:textId="45515832" w:rsidR="00505FF6" w:rsidRDefault="00BD5FCB" w:rsidP="00BD5FCB">
      <w:pPr>
        <w:spacing w:after="0"/>
        <w:rPr>
          <w:sz w:val="20"/>
        </w:rPr>
      </w:pPr>
      <w:r>
        <w:rPr>
          <w:sz w:val="20"/>
        </w:rPr>
        <w:br/>
      </w:r>
      <w:r w:rsidR="00416782">
        <w:rPr>
          <w:sz w:val="20"/>
        </w:rPr>
        <w:t>Depending on the model t</w:t>
      </w:r>
      <w:r w:rsidR="00416782" w:rsidRPr="00226B94">
        <w:rPr>
          <w:sz w:val="20"/>
        </w:rPr>
        <w:t xml:space="preserve">he ETERNUS CS800 supports VDMS, which is installed ready-to-use. </w:t>
      </w:r>
      <w:r w:rsidR="00416782">
        <w:rPr>
          <w:sz w:val="20"/>
        </w:rPr>
        <w:t>This integration</w:t>
      </w:r>
      <w:r w:rsidR="00505FF6" w:rsidRPr="005927FD">
        <w:rPr>
          <w:sz w:val="20"/>
        </w:rPr>
        <w:t xml:space="preserve"> enables a direct connection to the Veeam Server/Proxy without a gateway, which actively supports Veeam data storage. In addition, the ecosystem can be complemented by ETERNUS LT tape solutions, which can be used to optimally implement the </w:t>
      </w:r>
      <w:r w:rsidR="0024446F">
        <w:rPr>
          <w:sz w:val="20"/>
        </w:rPr>
        <w:t>3-2-1 b</w:t>
      </w:r>
      <w:r w:rsidR="00505FF6" w:rsidRPr="005927FD">
        <w:rPr>
          <w:sz w:val="20"/>
        </w:rPr>
        <w:t>ackup and more. Store at least three copies of the data, store two backup copies on different storage media, store one backup copy at a remote location</w:t>
      </w:r>
      <w:r w:rsidR="0024446F">
        <w:rPr>
          <w:sz w:val="20"/>
        </w:rPr>
        <w:t xml:space="preserve"> or </w:t>
      </w:r>
      <w:r w:rsidR="00505FF6" w:rsidRPr="005927FD">
        <w:rPr>
          <w:sz w:val="20"/>
        </w:rPr>
        <w:t>offline through the simple and efficient operation of a tape library (e.g.</w:t>
      </w:r>
      <w:r w:rsidR="0024446F">
        <w:rPr>
          <w:sz w:val="20"/>
        </w:rPr>
        <w:t>,</w:t>
      </w:r>
      <w:r w:rsidR="00505FF6" w:rsidRPr="005927FD">
        <w:rPr>
          <w:sz w:val="20"/>
        </w:rPr>
        <w:t xml:space="preserve"> ETERNUS LT).</w:t>
      </w:r>
    </w:p>
    <w:p w14:paraId="76D09865" w14:textId="1F662940" w:rsidR="00505FF6" w:rsidRDefault="00BD5FCB" w:rsidP="00505FF6">
      <w:pPr>
        <w:spacing w:after="0"/>
        <w:rPr>
          <w:sz w:val="20"/>
        </w:rPr>
      </w:pPr>
      <w:r w:rsidRPr="00BD5FCB">
        <w:rPr>
          <w:noProof/>
          <w:sz w:val="20"/>
        </w:rPr>
        <w:drawing>
          <wp:anchor distT="0" distB="0" distL="114300" distR="114300" simplePos="0" relativeHeight="251678208" behindDoc="0" locked="0" layoutInCell="1" allowOverlap="1" wp14:anchorId="2D494D66" wp14:editId="5D6D19E6">
            <wp:simplePos x="0" y="0"/>
            <wp:positionH relativeFrom="column">
              <wp:posOffset>-2540</wp:posOffset>
            </wp:positionH>
            <wp:positionV relativeFrom="paragraph">
              <wp:posOffset>175260</wp:posOffset>
            </wp:positionV>
            <wp:extent cx="6616700" cy="2009140"/>
            <wp:effectExtent l="0" t="0" r="0" b="0"/>
            <wp:wrapSquare wrapText="bothSides"/>
            <wp:docPr id="40" name="Grafik 39">
              <a:extLst xmlns:a="http://schemas.openxmlformats.org/drawingml/2006/main">
                <a:ext uri="{FF2B5EF4-FFF2-40B4-BE49-F238E27FC236}">
                  <a16:creationId xmlns:a16="http://schemas.microsoft.com/office/drawing/2014/main" id="{AED561D3-A53A-49D2-86AF-5A8DF3A70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AED561D3-A53A-49D2-86AF-5A8DF3A70FFB}"/>
                        </a:ext>
                      </a:extLst>
                    </pic:cNvPr>
                    <pic:cNvPicPr>
                      <a:picLocks noChangeAspect="1"/>
                    </pic:cNvPicPr>
                  </pic:nvPicPr>
                  <pic:blipFill rotWithShape="1">
                    <a:blip r:embed="rId34" cstate="screen">
                      <a:extLst>
                        <a:ext uri="{28A0092B-C50C-407E-A947-70E740481C1C}">
                          <a14:useLocalDpi xmlns:a14="http://schemas.microsoft.com/office/drawing/2010/main"/>
                        </a:ext>
                      </a:extLst>
                    </a:blip>
                    <a:srcRect b="8634"/>
                    <a:stretch/>
                  </pic:blipFill>
                  <pic:spPr bwMode="auto">
                    <a:xfrm>
                      <a:off x="0" y="0"/>
                      <a:ext cx="6616700" cy="2009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0CEC36" w14:textId="2A9224F3" w:rsidR="003E64B3" w:rsidRPr="00EC4136" w:rsidRDefault="003E64B3" w:rsidP="003E64B3">
      <w:pPr>
        <w:pStyle w:val="Caption"/>
        <w:rPr>
          <w:color w:val="auto"/>
          <w:sz w:val="20"/>
        </w:rPr>
      </w:pPr>
      <w:r w:rsidRPr="00EC4136">
        <w:rPr>
          <w:color w:val="auto"/>
        </w:rPr>
        <w:t xml:space="preserve">Figure </w:t>
      </w:r>
      <w:r w:rsidRPr="00EC4136">
        <w:rPr>
          <w:color w:val="auto"/>
        </w:rPr>
        <w:fldChar w:fldCharType="begin"/>
      </w:r>
      <w:r w:rsidRPr="00EC4136">
        <w:rPr>
          <w:color w:val="auto"/>
        </w:rPr>
        <w:instrText xml:space="preserve"> SEQ Figure \* ARABIC </w:instrText>
      </w:r>
      <w:r w:rsidRPr="00EC4136">
        <w:rPr>
          <w:color w:val="auto"/>
        </w:rPr>
        <w:fldChar w:fldCharType="separate"/>
      </w:r>
      <w:r w:rsidR="00682986" w:rsidRPr="00EC4136">
        <w:rPr>
          <w:noProof/>
          <w:color w:val="auto"/>
        </w:rPr>
        <w:t>7</w:t>
      </w:r>
      <w:r w:rsidRPr="00EC4136">
        <w:rPr>
          <w:color w:val="auto"/>
        </w:rPr>
        <w:fldChar w:fldCharType="end"/>
      </w:r>
      <w:r w:rsidRPr="00EC4136">
        <w:rPr>
          <w:color w:val="auto"/>
        </w:rPr>
        <w:t>: Veeam Data Mover Service with Fujitsu Storage ETERNUS</w:t>
      </w:r>
    </w:p>
    <w:p w14:paraId="4F6FEE35" w14:textId="1B78076C" w:rsidR="007F3654" w:rsidRDefault="00416782" w:rsidP="00505FF6">
      <w:pPr>
        <w:spacing w:after="0"/>
        <w:rPr>
          <w:rFonts w:ascii="Fujitsu Infinity Pro Bold" w:hAnsi="Fujitsu Infinity Pro Bold"/>
          <w:sz w:val="20"/>
        </w:rPr>
      </w:pPr>
      <w:r w:rsidRPr="00226B94">
        <w:rPr>
          <w:sz w:val="20"/>
        </w:rPr>
        <w:t>Although Veeam Backup &amp; Replication feature deduplication/compression</w:t>
      </w:r>
      <w:r w:rsidR="00692D59">
        <w:rPr>
          <w:sz w:val="20"/>
        </w:rPr>
        <w:t>,</w:t>
      </w:r>
      <w:r w:rsidRPr="00226B94">
        <w:rPr>
          <w:sz w:val="20"/>
        </w:rPr>
        <w:t xml:space="preserve"> these are off-loaded to the original ETERNUS CS800 software capabilities. Veeam also features software-based encryption, which in this scenario does not make sense. If encryption is required though, ETERNUS CS800 customers can select a portfolio of</w:t>
      </w:r>
      <w:r>
        <w:rPr>
          <w:sz w:val="20"/>
        </w:rPr>
        <w:t xml:space="preserve"> </w:t>
      </w:r>
      <w:r w:rsidRPr="00226B94">
        <w:rPr>
          <w:sz w:val="20"/>
        </w:rPr>
        <w:t>self-encrypting drives</w:t>
      </w:r>
      <w:r>
        <w:rPr>
          <w:sz w:val="20"/>
        </w:rPr>
        <w:t xml:space="preserve"> (SED</w:t>
      </w:r>
      <w:r w:rsidRPr="00226B94">
        <w:rPr>
          <w:sz w:val="20"/>
        </w:rPr>
        <w:t>) to make full use of hardware-based encryption performance.</w:t>
      </w:r>
    </w:p>
    <w:p w14:paraId="4E35E849" w14:textId="77777777" w:rsidR="005471CF" w:rsidRPr="00226B94" w:rsidRDefault="005471CF" w:rsidP="00505FF6">
      <w:pPr>
        <w:spacing w:after="0"/>
        <w:rPr>
          <w:sz w:val="20"/>
        </w:rPr>
      </w:pPr>
    </w:p>
    <w:p w14:paraId="17723A9A" w14:textId="73D07097" w:rsidR="00505FF6" w:rsidRPr="00316B14" w:rsidRDefault="00505FF6" w:rsidP="00505FF6">
      <w:pPr>
        <w:spacing w:after="0"/>
        <w:rPr>
          <w:rFonts w:ascii="Fujitsu Infinity Pro Bold" w:hAnsi="Fujitsu Infinity Pro Bold"/>
          <w:sz w:val="20"/>
        </w:rPr>
      </w:pPr>
      <w:r w:rsidRPr="00316B14">
        <w:rPr>
          <w:rFonts w:ascii="Fujitsu Infinity Pro Bold" w:hAnsi="Fujitsu Infinity Pro Bold"/>
          <w:sz w:val="20"/>
        </w:rPr>
        <w:t xml:space="preserve">Fujitsu Storage ETERNUS CS8000 </w:t>
      </w:r>
      <w:r w:rsidR="00416782">
        <w:rPr>
          <w:rFonts w:ascii="Fujitsu Infinity Pro Bold" w:hAnsi="Fujitsu Infinity Pro Bold"/>
          <w:sz w:val="20"/>
        </w:rPr>
        <w:t>is a t</w:t>
      </w:r>
      <w:r w:rsidRPr="00316B14">
        <w:rPr>
          <w:rFonts w:ascii="Fujitsu Infinity Pro Bold" w:hAnsi="Fujitsu Infinity Pro Bold"/>
          <w:sz w:val="20"/>
        </w:rPr>
        <w:t xml:space="preserve">arget </w:t>
      </w:r>
      <w:r w:rsidR="00416782">
        <w:rPr>
          <w:rFonts w:ascii="Fujitsu Infinity Pro Bold" w:hAnsi="Fujitsu Infinity Pro Bold"/>
          <w:sz w:val="20"/>
        </w:rPr>
        <w:t>a</w:t>
      </w:r>
      <w:r w:rsidRPr="00316B14">
        <w:rPr>
          <w:rFonts w:ascii="Fujitsu Infinity Pro Bold" w:hAnsi="Fujitsu Infinity Pro Bold"/>
          <w:sz w:val="20"/>
        </w:rPr>
        <w:t>ppliance for backup</w:t>
      </w:r>
      <w:r w:rsidR="00A413F9">
        <w:rPr>
          <w:rFonts w:ascii="Fujitsu Infinity Pro Bold" w:hAnsi="Fujitsu Infinity Pro Bold"/>
          <w:sz w:val="20"/>
        </w:rPr>
        <w:t xml:space="preserve"> and archiving</w:t>
      </w:r>
    </w:p>
    <w:p w14:paraId="012C92C4" w14:textId="1E7C338A" w:rsidR="00416782" w:rsidRPr="008E7882" w:rsidRDefault="00505FF6" w:rsidP="00416782">
      <w:pPr>
        <w:rPr>
          <w:sz w:val="20"/>
          <w:szCs w:val="22"/>
        </w:rPr>
      </w:pPr>
      <w:r w:rsidRPr="00226B94">
        <w:rPr>
          <w:sz w:val="20"/>
        </w:rPr>
        <w:t xml:space="preserve">The </w:t>
      </w:r>
      <w:r w:rsidR="00416782" w:rsidRPr="008E7882">
        <w:rPr>
          <w:sz w:val="20"/>
          <w:szCs w:val="22"/>
        </w:rPr>
        <w:t xml:space="preserve">ETERNUS CS8000 is a reliable data center solution for enterprise backup and archiving for mainframe and open systems providing a central repository for backup, archive, second tier and object data. </w:t>
      </w:r>
    </w:p>
    <w:p w14:paraId="4D1EB3C4" w14:textId="1DD1F127" w:rsidR="00505FF6" w:rsidRPr="00A413F9" w:rsidRDefault="00505FF6" w:rsidP="00A413F9">
      <w:pPr>
        <w:pStyle w:val="BulletsLevel1"/>
        <w:rPr>
          <w:sz w:val="20"/>
          <w:szCs w:val="22"/>
        </w:rPr>
      </w:pPr>
      <w:r w:rsidRPr="00A413F9">
        <w:rPr>
          <w:sz w:val="20"/>
          <w:szCs w:val="22"/>
        </w:rPr>
        <w:t xml:space="preserve">The ETERNUS CS8000 </w:t>
      </w:r>
      <w:r w:rsidR="00416782" w:rsidRPr="00A413F9">
        <w:rPr>
          <w:sz w:val="20"/>
          <w:szCs w:val="22"/>
        </w:rPr>
        <w:t>s</w:t>
      </w:r>
      <w:r w:rsidRPr="00A413F9">
        <w:rPr>
          <w:sz w:val="20"/>
          <w:szCs w:val="22"/>
        </w:rPr>
        <w:t xml:space="preserve">oftware </w:t>
      </w:r>
      <w:proofErr w:type="spellStart"/>
      <w:r w:rsidRPr="00A413F9">
        <w:rPr>
          <w:sz w:val="20"/>
          <w:szCs w:val="22"/>
        </w:rPr>
        <w:t>CentricStor</w:t>
      </w:r>
      <w:proofErr w:type="spellEnd"/>
      <w:r w:rsidRPr="00A413F9">
        <w:rPr>
          <w:sz w:val="20"/>
          <w:szCs w:val="22"/>
        </w:rPr>
        <w:t xml:space="preserve"> offers intelligent automation features, relieving admins from workload,</w:t>
      </w:r>
      <w:r w:rsidR="00416782" w:rsidRPr="00A413F9">
        <w:rPr>
          <w:sz w:val="20"/>
          <w:szCs w:val="22"/>
        </w:rPr>
        <w:t xml:space="preserve"> </w:t>
      </w:r>
      <w:r w:rsidRPr="00A413F9">
        <w:rPr>
          <w:sz w:val="20"/>
          <w:szCs w:val="22"/>
        </w:rPr>
        <w:t xml:space="preserve">and ensuring higher and more reliable service levels. </w:t>
      </w:r>
    </w:p>
    <w:p w14:paraId="2DE331CF" w14:textId="208FAF2F" w:rsidR="00505FF6" w:rsidRPr="00A413F9" w:rsidRDefault="00505FF6" w:rsidP="00A413F9">
      <w:pPr>
        <w:pStyle w:val="BulletsLevel1"/>
        <w:rPr>
          <w:sz w:val="20"/>
          <w:szCs w:val="22"/>
        </w:rPr>
      </w:pPr>
      <w:r w:rsidRPr="00A413F9">
        <w:rPr>
          <w:sz w:val="20"/>
          <w:szCs w:val="22"/>
        </w:rPr>
        <w:t>Advanced VTL features (</w:t>
      </w:r>
      <w:r w:rsidR="00416782" w:rsidRPr="00A413F9">
        <w:rPr>
          <w:sz w:val="20"/>
          <w:szCs w:val="22"/>
        </w:rPr>
        <w:t>e.g.,</w:t>
      </w:r>
      <w:r w:rsidRPr="00A413F9">
        <w:rPr>
          <w:sz w:val="20"/>
          <w:szCs w:val="22"/>
        </w:rPr>
        <w:t xml:space="preserve"> dual- or triple safe, cache mirror, etc.) that can be combined with the capabilities of the Veeam software can lead to huge TCO reductions in complex backup environments.</w:t>
      </w:r>
    </w:p>
    <w:p w14:paraId="7FFA903C" w14:textId="77777777" w:rsidR="00505FF6" w:rsidRPr="00A413F9" w:rsidRDefault="00505FF6" w:rsidP="00A413F9">
      <w:pPr>
        <w:pStyle w:val="BulletsLevel1"/>
        <w:rPr>
          <w:sz w:val="20"/>
          <w:szCs w:val="22"/>
        </w:rPr>
      </w:pPr>
      <w:r w:rsidRPr="00A413F9">
        <w:rPr>
          <w:sz w:val="20"/>
          <w:szCs w:val="22"/>
        </w:rPr>
        <w:t>WORM functionality enables compliant archiving.</w:t>
      </w:r>
    </w:p>
    <w:p w14:paraId="4A7C5D49" w14:textId="7727E4DE" w:rsidR="00505FF6" w:rsidRPr="00A413F9" w:rsidRDefault="00505FF6" w:rsidP="00A413F9">
      <w:pPr>
        <w:pStyle w:val="BulletsLevel1"/>
        <w:rPr>
          <w:sz w:val="20"/>
          <w:szCs w:val="22"/>
        </w:rPr>
      </w:pPr>
      <w:r w:rsidRPr="00A413F9">
        <w:rPr>
          <w:sz w:val="20"/>
          <w:szCs w:val="22"/>
        </w:rPr>
        <w:t xml:space="preserve">No other </w:t>
      </w:r>
      <w:r w:rsidR="00A413F9" w:rsidRPr="00A413F9">
        <w:rPr>
          <w:sz w:val="20"/>
          <w:szCs w:val="22"/>
        </w:rPr>
        <w:t>d</w:t>
      </w:r>
      <w:r w:rsidRPr="00A413F9">
        <w:rPr>
          <w:sz w:val="20"/>
          <w:szCs w:val="22"/>
        </w:rPr>
        <w:t xml:space="preserve">ata </w:t>
      </w:r>
      <w:r w:rsidR="00A413F9" w:rsidRPr="00A413F9">
        <w:rPr>
          <w:sz w:val="20"/>
          <w:szCs w:val="22"/>
        </w:rPr>
        <w:t>p</w:t>
      </w:r>
      <w:r w:rsidRPr="00A413F9">
        <w:rPr>
          <w:sz w:val="20"/>
          <w:szCs w:val="22"/>
        </w:rPr>
        <w:t xml:space="preserve">rotection </w:t>
      </w:r>
      <w:r w:rsidR="00A413F9" w:rsidRPr="00A413F9">
        <w:rPr>
          <w:sz w:val="20"/>
          <w:szCs w:val="22"/>
        </w:rPr>
        <w:t>a</w:t>
      </w:r>
      <w:r w:rsidRPr="00A413F9">
        <w:rPr>
          <w:sz w:val="20"/>
          <w:szCs w:val="22"/>
        </w:rPr>
        <w:t>ppliance in the market allows customers to design a synchronous replication architecture between two data centers.</w:t>
      </w:r>
    </w:p>
    <w:p w14:paraId="20138D5E" w14:textId="77777777" w:rsidR="00505FF6" w:rsidRPr="00A413F9" w:rsidRDefault="00505FF6" w:rsidP="00A413F9">
      <w:pPr>
        <w:pStyle w:val="BulletsLevel1"/>
        <w:rPr>
          <w:sz w:val="20"/>
          <w:szCs w:val="22"/>
        </w:rPr>
      </w:pPr>
      <w:r w:rsidRPr="00A413F9">
        <w:rPr>
          <w:sz w:val="20"/>
          <w:szCs w:val="22"/>
        </w:rPr>
        <w:t xml:space="preserve">One of the highly appreciated features of the software is a function called “Tape refresh”, which automatically handles necessary transitions from older to newer tape media and robotic technology. </w:t>
      </w:r>
    </w:p>
    <w:p w14:paraId="570C5424" w14:textId="77777777" w:rsidR="003E64B3" w:rsidRDefault="003E64B3" w:rsidP="00A413F9">
      <w:pPr>
        <w:pStyle w:val="FJBreakoutSubheadline1"/>
        <w:rPr>
          <w:rFonts w:ascii="Fujitsu Infinity Pro" w:hAnsi="Fujitsu Infinity Pro"/>
        </w:rPr>
      </w:pPr>
    </w:p>
    <w:p w14:paraId="181B1CDC" w14:textId="7C36A2B1" w:rsidR="00A413F9" w:rsidRPr="00A413F9" w:rsidRDefault="00A413F9" w:rsidP="00001EEA">
      <w:pPr>
        <w:pStyle w:val="FJBreakoutSubheadline1"/>
        <w:keepNext/>
        <w:keepLines/>
        <w:rPr>
          <w:rFonts w:ascii="Fujitsu Infinity Pro" w:hAnsi="Fujitsu Infinity Pro"/>
        </w:rPr>
      </w:pPr>
      <w:r w:rsidRPr="008E7882">
        <w:rPr>
          <w:rFonts w:ascii="Fujitsu Infinity Pro" w:hAnsi="Fujitsu Infinity Pro"/>
        </w:rPr>
        <w:lastRenderedPageBreak/>
        <w:t>The ETERNUS CS8000 is ideally suited for</w:t>
      </w:r>
      <w:r>
        <w:rPr>
          <w:rFonts w:ascii="Fujitsu Infinity Pro" w:hAnsi="Fujitsu Infinity Pro"/>
        </w:rPr>
        <w:t>:</w:t>
      </w:r>
      <w:r w:rsidRPr="008E7882">
        <w:rPr>
          <w:rFonts w:ascii="Fujitsu Infinity Pro" w:hAnsi="Fujitsu Infinity Pro"/>
        </w:rPr>
        <w:t xml:space="preserve"> </w:t>
      </w:r>
    </w:p>
    <w:p w14:paraId="197F1B9E" w14:textId="7E8B6D73" w:rsidR="00A413F9" w:rsidRPr="00A413F9" w:rsidRDefault="008736B8" w:rsidP="00001EEA">
      <w:pPr>
        <w:pStyle w:val="BulletsLevel1"/>
        <w:keepNext/>
        <w:keepLines/>
        <w:ind w:left="351" w:hanging="215"/>
        <w:rPr>
          <w:sz w:val="20"/>
          <w:szCs w:val="22"/>
        </w:rPr>
      </w:pPr>
      <w:r>
        <w:rPr>
          <w:sz w:val="20"/>
          <w:szCs w:val="22"/>
        </w:rPr>
        <w:t>U</w:t>
      </w:r>
      <w:r w:rsidR="00A413F9" w:rsidRPr="00A413F9">
        <w:rPr>
          <w:sz w:val="20"/>
          <w:szCs w:val="22"/>
        </w:rPr>
        <w:t xml:space="preserve">pper medium and large enterprises to protect data from edge-core-cloud. </w:t>
      </w:r>
    </w:p>
    <w:p w14:paraId="3C53321F" w14:textId="0E51FBEA" w:rsidR="00A413F9" w:rsidRPr="00A413F9" w:rsidRDefault="008736B8" w:rsidP="00001EEA">
      <w:pPr>
        <w:pStyle w:val="BulletsLevel1"/>
        <w:keepNext/>
        <w:keepLines/>
        <w:ind w:left="351" w:hanging="215"/>
        <w:rPr>
          <w:sz w:val="20"/>
          <w:szCs w:val="22"/>
        </w:rPr>
      </w:pPr>
      <w:r>
        <w:rPr>
          <w:sz w:val="20"/>
          <w:szCs w:val="22"/>
        </w:rPr>
        <w:t>S</w:t>
      </w:r>
      <w:r w:rsidR="00A413F9" w:rsidRPr="00A413F9">
        <w:rPr>
          <w:sz w:val="20"/>
          <w:szCs w:val="22"/>
        </w:rPr>
        <w:t>ervice providers due to flexible “Scale” and “Growth” on-demand purchasing options.</w:t>
      </w:r>
    </w:p>
    <w:p w14:paraId="5EB6B22A" w14:textId="1B7856A5" w:rsidR="00A413F9" w:rsidRPr="00A413F9" w:rsidRDefault="008736B8" w:rsidP="00001EEA">
      <w:pPr>
        <w:pStyle w:val="BulletsLevel1"/>
        <w:keepNext/>
        <w:keepLines/>
        <w:ind w:left="351" w:hanging="215"/>
        <w:rPr>
          <w:sz w:val="20"/>
          <w:szCs w:val="22"/>
        </w:rPr>
      </w:pPr>
      <w:r>
        <w:rPr>
          <w:sz w:val="20"/>
          <w:szCs w:val="22"/>
        </w:rPr>
        <w:t>D</w:t>
      </w:r>
      <w:r w:rsidR="00A413F9" w:rsidRPr="00A413F9">
        <w:rPr>
          <w:sz w:val="20"/>
          <w:szCs w:val="22"/>
        </w:rPr>
        <w:t xml:space="preserve">aily backup larger than 50 TB. </w:t>
      </w:r>
    </w:p>
    <w:p w14:paraId="21DDEC79" w14:textId="1B2D1EE8" w:rsidR="00A413F9" w:rsidRPr="00A413F9" w:rsidRDefault="008736B8" w:rsidP="00A413F9">
      <w:pPr>
        <w:pStyle w:val="BulletsLevel1"/>
        <w:ind w:left="351" w:hanging="215"/>
        <w:rPr>
          <w:sz w:val="20"/>
          <w:szCs w:val="22"/>
        </w:rPr>
      </w:pPr>
      <w:r>
        <w:rPr>
          <w:sz w:val="20"/>
          <w:szCs w:val="22"/>
        </w:rPr>
        <w:t>C</w:t>
      </w:r>
      <w:r w:rsidR="00A413F9" w:rsidRPr="00A413F9">
        <w:rPr>
          <w:sz w:val="20"/>
          <w:szCs w:val="22"/>
        </w:rPr>
        <w:t>ustomers with challenging backup and archiving SLAs like the need to support multiple media types or design an architecture with no single point of failure.</w:t>
      </w:r>
    </w:p>
    <w:p w14:paraId="59C5910F" w14:textId="0DD5B677" w:rsidR="00A413F9" w:rsidRPr="00A413F9" w:rsidRDefault="008736B8" w:rsidP="00A413F9">
      <w:pPr>
        <w:pStyle w:val="BulletsLevel1"/>
        <w:ind w:left="351" w:hanging="215"/>
        <w:rPr>
          <w:sz w:val="20"/>
          <w:szCs w:val="22"/>
        </w:rPr>
      </w:pPr>
      <w:r>
        <w:rPr>
          <w:sz w:val="20"/>
          <w:szCs w:val="22"/>
        </w:rPr>
        <w:t>D</w:t>
      </w:r>
      <w:r w:rsidR="00A413F9" w:rsidRPr="00A413F9">
        <w:rPr>
          <w:sz w:val="20"/>
          <w:szCs w:val="22"/>
        </w:rPr>
        <w:t>ata-driven organi</w:t>
      </w:r>
      <w:r w:rsidR="003E64B3">
        <w:rPr>
          <w:sz w:val="20"/>
          <w:szCs w:val="22"/>
        </w:rPr>
        <w:t>zation</w:t>
      </w:r>
      <w:r w:rsidR="00A413F9" w:rsidRPr="00A413F9">
        <w:rPr>
          <w:sz w:val="20"/>
          <w:szCs w:val="22"/>
        </w:rPr>
        <w:t xml:space="preserve"> to support large amounts of data ranging up to 60 Petabytes disk cache plus virtually unlimited capacities on tape media.</w:t>
      </w:r>
    </w:p>
    <w:p w14:paraId="0B5AC1A5" w14:textId="6A0111CA" w:rsidR="00A413F9" w:rsidRPr="00A413F9" w:rsidRDefault="008736B8" w:rsidP="00A413F9">
      <w:pPr>
        <w:pStyle w:val="BulletsLevel1"/>
        <w:ind w:left="351" w:hanging="215"/>
        <w:rPr>
          <w:sz w:val="20"/>
          <w:szCs w:val="22"/>
        </w:rPr>
      </w:pPr>
      <w:r>
        <w:rPr>
          <w:sz w:val="20"/>
          <w:szCs w:val="22"/>
        </w:rPr>
        <w:t>T</w:t>
      </w:r>
      <w:r w:rsidR="00A413F9" w:rsidRPr="00A413F9">
        <w:rPr>
          <w:sz w:val="20"/>
          <w:szCs w:val="22"/>
        </w:rPr>
        <w:t>hwarting ransomware with an 3-2-1 approach combining backup and archive to disk and tape.</w:t>
      </w:r>
    </w:p>
    <w:p w14:paraId="33C39E93" w14:textId="602EF199" w:rsidR="00A413F9" w:rsidRDefault="008736B8" w:rsidP="00A413F9">
      <w:pPr>
        <w:pStyle w:val="BulletsLevel1"/>
        <w:ind w:left="351" w:hanging="215"/>
        <w:rPr>
          <w:sz w:val="20"/>
          <w:szCs w:val="22"/>
        </w:rPr>
      </w:pPr>
      <w:r>
        <w:rPr>
          <w:sz w:val="20"/>
          <w:szCs w:val="22"/>
        </w:rPr>
        <w:t>F</w:t>
      </w:r>
      <w:r w:rsidR="00A413F9" w:rsidRPr="00A413F9">
        <w:rPr>
          <w:sz w:val="20"/>
          <w:szCs w:val="22"/>
        </w:rPr>
        <w:t>or heterogeneous environment with open systems and mainframes. ETERNUS CS8000 uses one software GUI for handling the backup data of mainframe and open system (e.g., x86, VMs, Unix, etc.).</w:t>
      </w:r>
    </w:p>
    <w:p w14:paraId="03F76668" w14:textId="77777777" w:rsidR="00001EEA" w:rsidRDefault="00001EEA" w:rsidP="00001EEA">
      <w:pPr>
        <w:pStyle w:val="BulletsLevel1"/>
        <w:numPr>
          <w:ilvl w:val="0"/>
          <w:numId w:val="0"/>
        </w:numPr>
        <w:ind w:left="351"/>
        <w:rPr>
          <w:sz w:val="20"/>
          <w:szCs w:val="22"/>
        </w:rPr>
      </w:pPr>
    </w:p>
    <w:p w14:paraId="395ABC1C" w14:textId="71FA1411" w:rsidR="00A413F9" w:rsidRDefault="00A413F9" w:rsidP="00A413F9">
      <w:pPr>
        <w:pStyle w:val="FJBreakoutSubheadline1"/>
      </w:pPr>
      <w:r>
        <w:t xml:space="preserve">For more details about our data protection portfolio please refer to the </w:t>
      </w:r>
      <w:hyperlink r:id="rId35" w:history="1">
        <w:r w:rsidRPr="00C667BF">
          <w:rPr>
            <w:rStyle w:val="Hyperlink"/>
          </w:rPr>
          <w:t>webpage</w:t>
        </w:r>
      </w:hyperlink>
      <w:r>
        <w:t xml:space="preserve">. </w:t>
      </w:r>
    </w:p>
    <w:p w14:paraId="6154914C" w14:textId="77777777" w:rsidR="00A413F9" w:rsidRDefault="00A413F9" w:rsidP="00A413F9">
      <w:pPr>
        <w:pStyle w:val="FJBreakoutSubheadline1"/>
      </w:pPr>
    </w:p>
    <w:p w14:paraId="7307FB51" w14:textId="745DAA4F" w:rsidR="00154B72" w:rsidRDefault="00B20B36" w:rsidP="002D52F7">
      <w:pPr>
        <w:pStyle w:val="Heading1"/>
        <w:rPr>
          <w:sz w:val="26"/>
          <w:szCs w:val="26"/>
        </w:rPr>
      </w:pPr>
      <w:bookmarkStart w:id="10" w:name="_Toc115389255"/>
      <w:r w:rsidRPr="00505FF6">
        <w:rPr>
          <w:sz w:val="26"/>
          <w:szCs w:val="26"/>
        </w:rPr>
        <w:t>Reflection on opening statements and summary</w:t>
      </w:r>
      <w:bookmarkEnd w:id="10"/>
    </w:p>
    <w:p w14:paraId="62297598" w14:textId="503D552E" w:rsidR="00AD2638" w:rsidRPr="00527022" w:rsidRDefault="00AD2638" w:rsidP="00AD2638">
      <w:pPr>
        <w:spacing w:after="0"/>
        <w:rPr>
          <w:rFonts w:ascii="Fujitsu Infinity Pro Bold" w:hAnsi="Fujitsu Infinity Pro Bold"/>
          <w:sz w:val="20"/>
        </w:rPr>
      </w:pPr>
      <w:r w:rsidRPr="00527022">
        <w:rPr>
          <w:rFonts w:ascii="Fujitsu Infinity Pro Bold" w:hAnsi="Fujitsu Infinity Pro Bold"/>
          <w:sz w:val="20"/>
        </w:rPr>
        <w:t xml:space="preserve">Data </w:t>
      </w:r>
      <w:r w:rsidR="00A413F9">
        <w:rPr>
          <w:rFonts w:ascii="Fujitsu Infinity Pro Bold" w:hAnsi="Fujitsu Infinity Pro Bold"/>
          <w:sz w:val="20"/>
        </w:rPr>
        <w:t>p</w:t>
      </w:r>
      <w:r w:rsidRPr="00527022">
        <w:rPr>
          <w:rFonts w:ascii="Fujitsu Infinity Pro Bold" w:hAnsi="Fujitsu Infinity Pro Bold"/>
          <w:sz w:val="20"/>
        </w:rPr>
        <w:t xml:space="preserve">rotection </w:t>
      </w:r>
      <w:r w:rsidR="00A413F9">
        <w:rPr>
          <w:rFonts w:ascii="Fujitsu Infinity Pro Bold" w:hAnsi="Fujitsu Infinity Pro Bold"/>
          <w:sz w:val="20"/>
        </w:rPr>
        <w:t>c</w:t>
      </w:r>
      <w:r w:rsidRPr="00527022">
        <w:rPr>
          <w:rFonts w:ascii="Fujitsu Infinity Pro Bold" w:hAnsi="Fujitsu Infinity Pro Bold"/>
          <w:sz w:val="20"/>
        </w:rPr>
        <w:t>hallenges</w:t>
      </w:r>
      <w:r w:rsidR="00A413F9">
        <w:rPr>
          <w:rFonts w:ascii="Fujitsu Infinity Pro Bold" w:hAnsi="Fujitsu Infinity Pro Bold"/>
          <w:sz w:val="20"/>
        </w:rPr>
        <w:t xml:space="preserve"> for data-driven organizations</w:t>
      </w:r>
    </w:p>
    <w:p w14:paraId="6B912F3E" w14:textId="4DDF4EBB" w:rsidR="00AD2638" w:rsidRPr="009C7407" w:rsidRDefault="00A413F9" w:rsidP="00AD2638">
      <w:pPr>
        <w:rPr>
          <w:sz w:val="20"/>
        </w:rPr>
      </w:pPr>
      <w:r w:rsidRPr="00070CFE">
        <w:rPr>
          <w:sz w:val="20"/>
        </w:rPr>
        <w:t>Referring</w:t>
      </w:r>
      <w:r w:rsidR="00AD2638" w:rsidRPr="00070CFE">
        <w:rPr>
          <w:sz w:val="20"/>
        </w:rPr>
        <w:t xml:space="preserve"> to the beginning</w:t>
      </w:r>
      <w:r w:rsidR="00070CFE">
        <w:rPr>
          <w:sz w:val="20"/>
        </w:rPr>
        <w:t xml:space="preserve"> </w:t>
      </w:r>
      <w:r w:rsidR="00692D59">
        <w:rPr>
          <w:sz w:val="20"/>
        </w:rPr>
        <w:t>of</w:t>
      </w:r>
      <w:r w:rsidR="00AD2638" w:rsidRPr="00070CFE">
        <w:rPr>
          <w:sz w:val="20"/>
        </w:rPr>
        <w:t xml:space="preserve"> the “new requirements” around Hybrid IT and the challenges derived from</w:t>
      </w:r>
      <w:r w:rsidR="00AD2638" w:rsidRPr="009C7407">
        <w:rPr>
          <w:sz w:val="20"/>
        </w:rPr>
        <w:t xml:space="preserve"> that for backup &amp; archive, we can only give the good advice to alter the importance of a consistent data protection strategy. In Fujitsu’s perspective, data protection responsible managers and administrators should embrace a “pro-active” stance to question their colleagues who are responsible for data creation and processing (and security) about their innovation plans for the company</w:t>
      </w:r>
      <w:r w:rsidR="00AD2638" w:rsidRPr="009C7407">
        <w:rPr>
          <w:rFonts w:ascii="Cambria" w:hAnsi="Cambria" w:cs="Cambria"/>
          <w:sz w:val="20"/>
        </w:rPr>
        <w:t>´</w:t>
      </w:r>
      <w:r w:rsidR="00AD2638" w:rsidRPr="009C7407">
        <w:rPr>
          <w:sz w:val="20"/>
        </w:rPr>
        <w:t xml:space="preserve">s IT landscape. </w:t>
      </w:r>
    </w:p>
    <w:p w14:paraId="3BCE545C" w14:textId="3A087B8E" w:rsidR="00AD2638" w:rsidRPr="009C7407" w:rsidRDefault="00AD2638" w:rsidP="00AD2638">
      <w:pPr>
        <w:rPr>
          <w:sz w:val="20"/>
        </w:rPr>
      </w:pPr>
      <w:r w:rsidRPr="00070CFE">
        <w:rPr>
          <w:sz w:val="20"/>
        </w:rPr>
        <w:t>To even accelerate these initiatives, “challenge” the</w:t>
      </w:r>
      <w:r w:rsidRPr="009C7407">
        <w:rPr>
          <w:sz w:val="20"/>
        </w:rPr>
        <w:t xml:space="preserve"> business leaders with questions like these: </w:t>
      </w:r>
    </w:p>
    <w:p w14:paraId="75872A8E" w14:textId="77777777" w:rsidR="00AD2638" w:rsidRPr="00A413F9" w:rsidRDefault="00AD2638" w:rsidP="00A413F9">
      <w:pPr>
        <w:pStyle w:val="BulletsLevel1"/>
        <w:rPr>
          <w:sz w:val="20"/>
          <w:szCs w:val="22"/>
        </w:rPr>
      </w:pPr>
      <w:r w:rsidRPr="00A413F9">
        <w:rPr>
          <w:sz w:val="20"/>
          <w:szCs w:val="22"/>
        </w:rPr>
        <w:t>“How long can your operations function if the IT systems go offline?”</w:t>
      </w:r>
    </w:p>
    <w:p w14:paraId="5D788152" w14:textId="77777777" w:rsidR="00AD2638" w:rsidRPr="00A413F9" w:rsidRDefault="00AD2638" w:rsidP="00A413F9">
      <w:pPr>
        <w:pStyle w:val="BulletsLevel1"/>
        <w:rPr>
          <w:sz w:val="20"/>
          <w:szCs w:val="22"/>
        </w:rPr>
      </w:pPr>
      <w:r w:rsidRPr="00A413F9">
        <w:rPr>
          <w:sz w:val="20"/>
          <w:szCs w:val="22"/>
        </w:rPr>
        <w:t xml:space="preserve">“If the IT systems go offline, how long does it really take to get them running again?” </w:t>
      </w:r>
    </w:p>
    <w:p w14:paraId="73060AD1" w14:textId="77777777" w:rsidR="00AD2638" w:rsidRPr="00A413F9" w:rsidRDefault="00AD2638" w:rsidP="00A413F9">
      <w:pPr>
        <w:pStyle w:val="BulletsLevel1"/>
        <w:rPr>
          <w:sz w:val="20"/>
          <w:szCs w:val="22"/>
        </w:rPr>
      </w:pPr>
      <w:r w:rsidRPr="00A413F9">
        <w:rPr>
          <w:sz w:val="20"/>
          <w:szCs w:val="22"/>
        </w:rPr>
        <w:t>Then ask your peers in IT a follow-up question: “When was the last time that we tested and confirmed that?”</w:t>
      </w:r>
    </w:p>
    <w:p w14:paraId="49D9E092" w14:textId="77777777" w:rsidR="00AD2638" w:rsidRPr="009C7407" w:rsidRDefault="00AD2638" w:rsidP="00AD2638">
      <w:pPr>
        <w:spacing w:after="0"/>
        <w:rPr>
          <w:sz w:val="20"/>
        </w:rPr>
      </w:pPr>
      <w:r w:rsidRPr="009C7407">
        <w:rPr>
          <w:sz w:val="20"/>
        </w:rPr>
        <w:t xml:space="preserve">While tactical IT initiatives may be obvious, strategic IT initiatives are often hindered by a lack of practical visibility and understanding of what is working and what is not. If you can only “see or do” the tactical functions, without understanding how the pieces relate to each other, you won’t go very far. The same abstractions in cloud and virtual environments that accelerate production initiatives create challenges for data protection/data management, BC/DR, and similar initiatives such as cybersecurity. One best practice is to formulate backup &amp; archive SLAs – following a consensus-based understanding about important, “most-” &amp; “utmost-” important categories of data for your business. </w:t>
      </w:r>
    </w:p>
    <w:p w14:paraId="46892990" w14:textId="77777777" w:rsidR="00AD2638" w:rsidRPr="009C7407" w:rsidRDefault="00AD2638" w:rsidP="00AD2638">
      <w:pPr>
        <w:spacing w:after="0"/>
        <w:rPr>
          <w:sz w:val="20"/>
          <w:highlight w:val="yellow"/>
        </w:rPr>
      </w:pPr>
    </w:p>
    <w:p w14:paraId="49A1E6EB" w14:textId="20BFD96B" w:rsidR="000711CF" w:rsidRDefault="000711CF">
      <w:pPr>
        <w:adjustRightInd/>
        <w:snapToGrid/>
        <w:spacing w:after="0"/>
      </w:pPr>
      <w:r>
        <w:br w:type="page"/>
      </w:r>
    </w:p>
    <w:p w14:paraId="7B049A1C" w14:textId="5A3A0533" w:rsidR="00A413F9" w:rsidRPr="0026641A" w:rsidRDefault="00EC4136" w:rsidP="00A413F9">
      <w:r w:rsidRPr="002E6F32">
        <w:rPr>
          <w:noProof/>
          <w:snapToGrid/>
        </w:rPr>
        <w:lastRenderedPageBreak/>
        <w:drawing>
          <wp:anchor distT="0" distB="0" distL="114300" distR="114300" simplePos="0" relativeHeight="251655680" behindDoc="1" locked="1" layoutInCell="1" allowOverlap="1" wp14:anchorId="7EE64EC3" wp14:editId="1C5AC82C">
            <wp:simplePos x="0" y="0"/>
            <wp:positionH relativeFrom="column">
              <wp:posOffset>-503555</wp:posOffset>
            </wp:positionH>
            <wp:positionV relativeFrom="paragraph">
              <wp:posOffset>0</wp:posOffset>
            </wp:positionV>
            <wp:extent cx="7919720" cy="3581400"/>
            <wp:effectExtent l="0" t="0" r="508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7919720" cy="358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C4CD4" w14:textId="04AA2C4E" w:rsidR="00AE5DB5" w:rsidRPr="000711CF" w:rsidRDefault="00AE5DB5" w:rsidP="00F7227D">
      <w:pPr>
        <w:spacing w:after="0"/>
        <w:rPr>
          <w:b/>
          <w:bCs w:val="0"/>
          <w:sz w:val="20"/>
        </w:rPr>
      </w:pPr>
    </w:p>
    <w:p w14:paraId="7E259FDB" w14:textId="606A5EBA" w:rsidR="00B20B36" w:rsidRPr="008761AE" w:rsidRDefault="00C31F42" w:rsidP="00C31F42">
      <w:pPr>
        <w:pStyle w:val="Heading1"/>
        <w:rPr>
          <w:color w:val="FFFFFF" w:themeColor="background1"/>
          <w:sz w:val="26"/>
          <w:szCs w:val="26"/>
        </w:rPr>
      </w:pPr>
      <w:bookmarkStart w:id="11" w:name="_Toc115389256"/>
      <w:r w:rsidRPr="008761AE">
        <w:rPr>
          <w:color w:val="FFFFFF" w:themeColor="background1"/>
          <w:sz w:val="26"/>
          <w:szCs w:val="26"/>
        </w:rPr>
        <w:t>Link Collection with further information</w:t>
      </w:r>
      <w:bookmarkEnd w:id="11"/>
    </w:p>
    <w:p w14:paraId="5119FDA2" w14:textId="60E9972A" w:rsidR="005471CF" w:rsidRPr="008761AE" w:rsidRDefault="005471CF" w:rsidP="005471CF">
      <w:pPr>
        <w:pStyle w:val="FSBodycopyBullet1"/>
        <w:numPr>
          <w:ilvl w:val="0"/>
          <w:numId w:val="0"/>
        </w:numPr>
        <w:ind w:left="227" w:hanging="227"/>
        <w:rPr>
          <w:rFonts w:ascii="Fujitsu Infinity Pro" w:eastAsia="MS PGothic" w:hAnsi="Fujitsu Infinity Pro"/>
          <w:color w:val="FFFFFF" w:themeColor="background1"/>
          <w:sz w:val="20"/>
        </w:rPr>
      </w:pPr>
      <w:r w:rsidRPr="008761AE">
        <w:rPr>
          <w:rFonts w:ascii="Fujitsu Infinity Pro" w:eastAsia="MS PGothic" w:hAnsi="Fujitsu Infinity Pro"/>
          <w:color w:val="FFFFFF" w:themeColor="background1"/>
          <w:sz w:val="20"/>
        </w:rPr>
        <w:t xml:space="preserve">Internet: </w:t>
      </w:r>
    </w:p>
    <w:p w14:paraId="6D24092A" w14:textId="76AE41D8" w:rsidR="005471CF" w:rsidRPr="008761AE" w:rsidRDefault="005930F3" w:rsidP="005471CF">
      <w:pPr>
        <w:pStyle w:val="FSBodycopyblacklight"/>
        <w:numPr>
          <w:ilvl w:val="0"/>
          <w:numId w:val="41"/>
        </w:numPr>
        <w:rPr>
          <w:rFonts w:ascii="Fujitsu Infinity Pro" w:hAnsi="Fujitsu Infinity Pro"/>
          <w:color w:val="FFFFFF" w:themeColor="background1"/>
          <w:sz w:val="20"/>
        </w:rPr>
      </w:pPr>
      <w:hyperlink r:id="rId37" w:history="1">
        <w:r w:rsidR="005471CF" w:rsidRPr="008761AE">
          <w:rPr>
            <w:rStyle w:val="Hyperlink"/>
            <w:rFonts w:ascii="Fujitsu Infinity Pro" w:hAnsi="Fujitsu Infinity Pro"/>
            <w:color w:val="FFFFFF" w:themeColor="background1"/>
            <w:sz w:val="20"/>
          </w:rPr>
          <w:t>www.veeam.com</w:t>
        </w:r>
      </w:hyperlink>
      <w:r w:rsidR="005471CF" w:rsidRPr="008761AE">
        <w:rPr>
          <w:rFonts w:ascii="Fujitsu Infinity Pro" w:hAnsi="Fujitsu Infinity Pro"/>
          <w:color w:val="FFFFFF" w:themeColor="background1"/>
          <w:sz w:val="20"/>
        </w:rPr>
        <w:t xml:space="preserve"> </w:t>
      </w:r>
    </w:p>
    <w:p w14:paraId="1A807DE1" w14:textId="1620F12F" w:rsidR="005471CF" w:rsidRPr="008761AE" w:rsidRDefault="005930F3" w:rsidP="005471CF">
      <w:pPr>
        <w:pStyle w:val="FSBodycopyblacklight"/>
        <w:numPr>
          <w:ilvl w:val="0"/>
          <w:numId w:val="41"/>
        </w:numPr>
        <w:rPr>
          <w:rFonts w:ascii="Fujitsu Infinity Pro" w:hAnsi="Fujitsu Infinity Pro"/>
          <w:color w:val="FFFFFF" w:themeColor="background1"/>
          <w:sz w:val="20"/>
        </w:rPr>
      </w:pPr>
      <w:hyperlink r:id="rId38" w:history="1">
        <w:r w:rsidR="005471CF" w:rsidRPr="008761AE">
          <w:rPr>
            <w:rStyle w:val="Hyperlink"/>
            <w:rFonts w:ascii="Fujitsu Infinity Pro" w:hAnsi="Fujitsu Infinity Pro"/>
            <w:color w:val="FFFFFF" w:themeColor="background1"/>
            <w:sz w:val="20"/>
          </w:rPr>
          <w:t>www.fujitsu.com/veeam</w:t>
        </w:r>
      </w:hyperlink>
      <w:r w:rsidR="005471CF" w:rsidRPr="008761AE">
        <w:rPr>
          <w:rFonts w:ascii="Fujitsu Infinity Pro" w:hAnsi="Fujitsu Infinity Pro"/>
          <w:color w:val="FFFFFF" w:themeColor="background1"/>
          <w:sz w:val="20"/>
        </w:rPr>
        <w:t xml:space="preserve">  </w:t>
      </w:r>
    </w:p>
    <w:p w14:paraId="5A3C60D1" w14:textId="08D15957" w:rsidR="005471CF" w:rsidRPr="00070CFE" w:rsidRDefault="005930F3" w:rsidP="00070CFE">
      <w:pPr>
        <w:pStyle w:val="FSBodycopyblacklight"/>
        <w:numPr>
          <w:ilvl w:val="0"/>
          <w:numId w:val="41"/>
        </w:numPr>
        <w:rPr>
          <w:rFonts w:ascii="Fujitsu Infinity Pro" w:hAnsi="Fujitsu Infinity Pro"/>
          <w:color w:val="FFFFFF" w:themeColor="background1"/>
          <w:sz w:val="20"/>
        </w:rPr>
      </w:pPr>
      <w:hyperlink r:id="rId39" w:history="1">
        <w:r w:rsidR="005471CF" w:rsidRPr="008761AE">
          <w:rPr>
            <w:rStyle w:val="Hyperlink"/>
            <w:rFonts w:ascii="Fujitsu Infinity Pro" w:hAnsi="Fujitsu Infinity Pro"/>
            <w:color w:val="FFFFFF" w:themeColor="background1"/>
            <w:sz w:val="20"/>
          </w:rPr>
          <w:t>www.fujitsu.com/primeflex</w:t>
        </w:r>
      </w:hyperlink>
      <w:r w:rsidR="005471CF" w:rsidRPr="008761AE">
        <w:rPr>
          <w:rFonts w:ascii="Fujitsu Infinity Pro" w:hAnsi="Fujitsu Infinity Pro"/>
          <w:color w:val="FFFFFF" w:themeColor="background1"/>
          <w:sz w:val="20"/>
        </w:rPr>
        <w:t xml:space="preserve"> </w:t>
      </w:r>
      <w:r w:rsidR="005471CF" w:rsidRPr="00070CFE">
        <w:rPr>
          <w:rFonts w:ascii="Fujitsu Infinity Pro" w:eastAsia="MS PGothic" w:hAnsi="Fujitsu Infinity Pro"/>
          <w:color w:val="FFFFFF" w:themeColor="background1"/>
          <w:sz w:val="20"/>
          <w:lang w:val="en-US"/>
        </w:rPr>
        <w:t xml:space="preserve"> </w:t>
      </w:r>
    </w:p>
    <w:p w14:paraId="62C76ED9" w14:textId="77777777" w:rsidR="00BD5FCB" w:rsidRDefault="00BD5FCB" w:rsidP="005471CF">
      <w:pPr>
        <w:pStyle w:val="FSBodycopyBullet1"/>
        <w:numPr>
          <w:ilvl w:val="0"/>
          <w:numId w:val="0"/>
        </w:numPr>
        <w:ind w:left="227" w:hanging="227"/>
        <w:rPr>
          <w:rFonts w:ascii="Fujitsu Infinity Pro" w:hAnsi="Fujitsu Infinity Pro"/>
          <w:color w:val="FFFFFF" w:themeColor="background1"/>
          <w:sz w:val="20"/>
          <w:lang w:val="en-US"/>
        </w:rPr>
      </w:pPr>
    </w:p>
    <w:p w14:paraId="17F88C2F" w14:textId="7ABDEA03" w:rsidR="005471CF" w:rsidRPr="008761AE" w:rsidRDefault="005471CF" w:rsidP="005471CF">
      <w:pPr>
        <w:pStyle w:val="FSBodycopyBullet1"/>
        <w:numPr>
          <w:ilvl w:val="0"/>
          <w:numId w:val="0"/>
        </w:numPr>
        <w:ind w:left="227" w:hanging="227"/>
        <w:rPr>
          <w:rFonts w:ascii="Fujitsu Infinity Pro" w:hAnsi="Fujitsu Infinity Pro"/>
          <w:color w:val="FFFFFF" w:themeColor="background1"/>
          <w:sz w:val="20"/>
          <w:lang w:val="en-US"/>
        </w:rPr>
      </w:pPr>
      <w:r w:rsidRPr="008761AE">
        <w:rPr>
          <w:rFonts w:ascii="Fujitsu Infinity Pro" w:hAnsi="Fujitsu Infinity Pro"/>
          <w:color w:val="FFFFFF" w:themeColor="background1"/>
          <w:sz w:val="20"/>
          <w:lang w:val="en-US"/>
        </w:rPr>
        <w:t xml:space="preserve">White paper: </w:t>
      </w:r>
      <w:hyperlink r:id="rId40" w:history="1">
        <w:r w:rsidRPr="008761AE">
          <w:rPr>
            <w:rStyle w:val="Hyperlink"/>
            <w:rFonts w:ascii="Fujitsu Infinity Pro" w:hAnsi="Fujitsu Infinity Pro"/>
            <w:color w:val="FFFFFF" w:themeColor="background1"/>
            <w:sz w:val="20"/>
            <w:lang w:val="en-US"/>
          </w:rPr>
          <w:t>Data Protection for the Digital World</w:t>
        </w:r>
      </w:hyperlink>
      <w:r w:rsidRPr="008761AE">
        <w:rPr>
          <w:rFonts w:ascii="Fujitsu Infinity Pro" w:hAnsi="Fujitsu Infinity Pro"/>
          <w:color w:val="FFFFFF" w:themeColor="background1"/>
          <w:sz w:val="20"/>
          <w:lang w:val="en-US"/>
        </w:rPr>
        <w:t xml:space="preserve"> </w:t>
      </w:r>
    </w:p>
    <w:p w14:paraId="565A89DE" w14:textId="5C6DAAC2" w:rsidR="003F1E51" w:rsidRDefault="003F1E51" w:rsidP="00070CFE">
      <w:pPr>
        <w:pStyle w:val="FJSubheadline1"/>
        <w:jc w:val="center"/>
        <w:rPr>
          <w:rFonts w:ascii="Fujitsu Infinity Pro" w:hAnsi="Fujitsu Infinity Pro"/>
          <w:sz w:val="20"/>
          <w:szCs w:val="20"/>
        </w:rPr>
      </w:pPr>
    </w:p>
    <w:p w14:paraId="763CB0B6" w14:textId="77777777" w:rsidR="00070CFE" w:rsidRPr="00A7419C" w:rsidRDefault="00070CFE" w:rsidP="00070CFE">
      <w:pPr>
        <w:pStyle w:val="FJSubheadline1"/>
        <w:jc w:val="center"/>
        <w:rPr>
          <w:rFonts w:ascii="Fujitsu Infinity Pro" w:hAnsi="Fujitsu Infinity Pro"/>
          <w:sz w:val="20"/>
          <w:szCs w:val="20"/>
        </w:rPr>
      </w:pPr>
    </w:p>
    <w:p w14:paraId="10A02411" w14:textId="455A82AA" w:rsidR="00F4297A" w:rsidRPr="008475D7" w:rsidRDefault="00A7419C" w:rsidP="00F4297A">
      <w:pPr>
        <w:pStyle w:val="FJBreakoutSubheadline1"/>
        <w:jc w:val="center"/>
        <w:rPr>
          <w:color w:val="FFFFFF" w:themeColor="background1"/>
        </w:rPr>
      </w:pPr>
      <w:r>
        <w:rPr>
          <w:lang w:val="fr-FR"/>
        </w:rPr>
        <w:tab/>
      </w:r>
      <w:hyperlink r:id="rId41" w:history="1">
        <w:r w:rsidR="00F4297A" w:rsidRPr="008475D7">
          <w:rPr>
            <w:rStyle w:val="Hyperlink"/>
            <w:color w:val="FFFFFF" w:themeColor="background1"/>
          </w:rPr>
          <w:t>Contact us</w:t>
        </w:r>
      </w:hyperlink>
    </w:p>
    <w:p w14:paraId="6A945C31" w14:textId="77777777" w:rsidR="00F4297A" w:rsidRPr="008475D7" w:rsidRDefault="00F4297A" w:rsidP="00F4297A">
      <w:pPr>
        <w:pStyle w:val="FJBreakoutSubheadline1"/>
        <w:jc w:val="center"/>
        <w:rPr>
          <w:color w:val="FFFFFF" w:themeColor="background1"/>
        </w:rPr>
      </w:pPr>
    </w:p>
    <w:p w14:paraId="58A1B098" w14:textId="39C87881" w:rsidR="00F4297A" w:rsidRPr="008475D7" w:rsidRDefault="00F4297A" w:rsidP="00F4297A">
      <w:pPr>
        <w:pStyle w:val="FJBreakoutSubheadline1"/>
        <w:jc w:val="center"/>
        <w:rPr>
          <w:color w:val="FFFFFF" w:themeColor="background1"/>
        </w:rPr>
      </w:pPr>
      <w:r w:rsidRPr="008475D7">
        <w:rPr>
          <w:color w:val="FFFFFF" w:themeColor="background1"/>
        </w:rPr>
        <w:t xml:space="preserve">to find out </w:t>
      </w:r>
      <w:r w:rsidR="00692D59">
        <w:rPr>
          <w:color w:val="FFFFFF" w:themeColor="background1"/>
        </w:rPr>
        <w:t xml:space="preserve">how </w:t>
      </w:r>
      <w:r w:rsidRPr="008475D7">
        <w:rPr>
          <w:color w:val="FFFFFF" w:themeColor="background1"/>
        </w:rPr>
        <w:t>we can help you to protect your data in your hybrid environment</w:t>
      </w:r>
    </w:p>
    <w:p w14:paraId="594A6FA3" w14:textId="233D5605" w:rsidR="00F4297A" w:rsidRPr="00F4297A" w:rsidRDefault="00F4297A" w:rsidP="00F4297A">
      <w:pPr>
        <w:pStyle w:val="FJBreakoutSubheadline1"/>
        <w:jc w:val="center"/>
        <w:rPr>
          <w:color w:val="FFFFFF" w:themeColor="background1"/>
        </w:rPr>
      </w:pPr>
      <w:r w:rsidRPr="008475D7">
        <w:rPr>
          <w:color w:val="FFFFFF" w:themeColor="background1"/>
        </w:rPr>
        <w:t>to ensure 24/7 business continuity.</w:t>
      </w:r>
    </w:p>
    <w:p w14:paraId="10E64402" w14:textId="41F02EF0" w:rsidR="00793640" w:rsidRPr="00F4297A" w:rsidRDefault="00F4297A" w:rsidP="00A7419C">
      <w:pPr>
        <w:tabs>
          <w:tab w:val="left" w:pos="628"/>
        </w:tabs>
      </w:pPr>
      <w:r w:rsidRPr="00EC7196">
        <w:rPr>
          <w:noProof/>
        </w:rPr>
        <mc:AlternateContent>
          <mc:Choice Requires="wps">
            <w:drawing>
              <wp:anchor distT="0" distB="0" distL="114300" distR="114300" simplePos="0" relativeHeight="251619328" behindDoc="0" locked="0" layoutInCell="1" allowOverlap="1" wp14:anchorId="2FCCCD4B" wp14:editId="61BE064E">
                <wp:simplePos x="0" y="0"/>
                <wp:positionH relativeFrom="column">
                  <wp:posOffset>-440055</wp:posOffset>
                </wp:positionH>
                <wp:positionV relativeFrom="page">
                  <wp:posOffset>8602980</wp:posOffset>
                </wp:positionV>
                <wp:extent cx="7508240" cy="1390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8240" cy="1390650"/>
                        </a:xfrm>
                        <a:prstGeom prst="rect">
                          <a:avLst/>
                        </a:prstGeom>
                        <a:solidFill>
                          <a:schemeClr val="bg1"/>
                        </a:solidFill>
                        <a:ln w="9525">
                          <a:noFill/>
                          <a:miter lim="800000"/>
                          <a:headEnd/>
                          <a:tailEnd/>
                        </a:ln>
                      </wps:spPr>
                      <wps:txbx>
                        <w:txbxContent>
                          <w:tbl>
                            <w:tblPr>
                              <w:tblStyle w:val="TableGrid"/>
                              <w:tblW w:w="10387"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102"/>
                              <w:gridCol w:w="6285"/>
                            </w:tblGrid>
                            <w:tr w:rsidR="00F4297A" w14:paraId="5C695607" w14:textId="77777777" w:rsidTr="00EC3ECB">
                              <w:trPr>
                                <w:trHeight w:val="1763"/>
                              </w:trPr>
                              <w:tc>
                                <w:tcPr>
                                  <w:tcW w:w="4102" w:type="dxa"/>
                                  <w:shd w:val="clear" w:color="auto" w:fill="auto"/>
                                  <w:vAlign w:val="bottom"/>
                                </w:tcPr>
                                <w:p w14:paraId="7E395250" w14:textId="77777777" w:rsidR="00F4297A" w:rsidRPr="00A37B10" w:rsidRDefault="00F4297A" w:rsidP="00F4297A">
                                  <w:pPr>
                                    <w:pStyle w:val="FJContactHeader"/>
                                    <w:rPr>
                                      <w:lang w:val="en-GB"/>
                                    </w:rPr>
                                  </w:pPr>
                                  <w:r w:rsidRPr="00A37B10">
                                    <w:rPr>
                                      <w:lang w:val="en-GB"/>
                                    </w:rPr>
                                    <w:t>Contact</w:t>
                                  </w:r>
                                </w:p>
                                <w:p w14:paraId="7817C7A3" w14:textId="77777777"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Fujitsu Technology Solutions GmbH</w:t>
                                  </w:r>
                                </w:p>
                                <w:p w14:paraId="4352ACBA" w14:textId="77777777"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Mies-van-der-Rohe-Strasse 8</w:t>
                                  </w:r>
                                </w:p>
                                <w:p w14:paraId="55B946CB" w14:textId="77777777"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D-80807 Munich</w:t>
                                  </w:r>
                                </w:p>
                                <w:p w14:paraId="3FDDB0D0" w14:textId="3C5383B5"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 xml:space="preserve">Internet: </w:t>
                                  </w:r>
                                  <w:hyperlink r:id="rId42" w:history="1">
                                    <w:r w:rsidRPr="00CB1A94">
                                      <w:rPr>
                                        <w:rStyle w:val="Hyperlink"/>
                                        <w:rFonts w:eastAsia="MS Mincho" w:cs="FujitsuInfinityPro-Regular"/>
                                        <w:snapToGrid/>
                                        <w:kern w:val="0"/>
                                        <w:position w:val="0"/>
                                        <w:sz w:val="18"/>
                                        <w:lang w:val="de-DE" w:eastAsia="en-GB"/>
                                      </w:rPr>
                                      <w:t>www.fujitsu.com/dataprotection</w:t>
                                    </w:r>
                                  </w:hyperlink>
                                  <w:r w:rsidRPr="00CB1A94">
                                    <w:rPr>
                                      <w:rFonts w:eastAsia="MS Mincho" w:cs="FujitsuInfinityPro-Regular"/>
                                      <w:snapToGrid/>
                                      <w:kern w:val="0"/>
                                      <w:position w:val="0"/>
                                      <w:sz w:val="18"/>
                                      <w:lang w:val="de-DE" w:eastAsia="en-GB"/>
                                    </w:rPr>
                                    <w:t xml:space="preserve"> </w:t>
                                  </w:r>
                                </w:p>
                                <w:p w14:paraId="36D4F7F3" w14:textId="4A66B9A8" w:rsidR="00F4297A" w:rsidRPr="002F6CD0" w:rsidRDefault="00F4297A" w:rsidP="00F4297A">
                                  <w:pPr>
                                    <w:pStyle w:val="FJContactDetails"/>
                                  </w:pPr>
                                  <w:r w:rsidRPr="00CB1A94">
                                    <w:rPr>
                                      <w:rFonts w:eastAsia="MS Mincho" w:cs="FujitsuInfinityPro-Regular"/>
                                      <w:snapToGrid/>
                                      <w:kern w:val="0"/>
                                      <w:position w:val="0"/>
                                      <w:sz w:val="18"/>
                                      <w:lang w:val="de-DE" w:eastAsia="en-GB"/>
                                    </w:rPr>
                                    <w:t>Date: 2022-0</w:t>
                                  </w:r>
                                  <w:r w:rsidR="00C26AF6">
                                    <w:rPr>
                                      <w:rFonts w:eastAsia="MS Mincho" w:cs="FujitsuInfinityPro-Regular"/>
                                      <w:snapToGrid/>
                                      <w:kern w:val="0"/>
                                      <w:position w:val="0"/>
                                      <w:sz w:val="18"/>
                                      <w:lang w:val="de-DE" w:eastAsia="en-GB"/>
                                    </w:rPr>
                                    <w:t>9-</w:t>
                                  </w:r>
                                  <w:r w:rsidR="00EC4136">
                                    <w:rPr>
                                      <w:rFonts w:eastAsia="MS Mincho" w:cs="FujitsuInfinityPro-Regular"/>
                                      <w:snapToGrid/>
                                      <w:kern w:val="0"/>
                                      <w:position w:val="0"/>
                                      <w:sz w:val="18"/>
                                      <w:lang w:val="de-DE" w:eastAsia="en-GB"/>
                                    </w:rPr>
                                    <w:t>3</w:t>
                                  </w:r>
                                  <w:r w:rsidR="00001EEA">
                                    <w:rPr>
                                      <w:rFonts w:eastAsia="MS Mincho" w:cs="FujitsuInfinityPro-Regular"/>
                                      <w:snapToGrid/>
                                      <w:kern w:val="0"/>
                                      <w:position w:val="0"/>
                                      <w:sz w:val="18"/>
                                      <w:lang w:val="de-DE" w:eastAsia="en-GB"/>
                                    </w:rPr>
                                    <w:t>0</w:t>
                                  </w:r>
                                  <w:r w:rsidRPr="00CB1A94">
                                    <w:rPr>
                                      <w:rFonts w:eastAsia="MS Mincho" w:cs="FujitsuInfinityPro-Regular"/>
                                      <w:snapToGrid/>
                                      <w:kern w:val="0"/>
                                      <w:position w:val="0"/>
                                      <w:sz w:val="18"/>
                                      <w:lang w:val="de-DE" w:eastAsia="en-GB"/>
                                    </w:rPr>
                                    <w:t xml:space="preserve"> ww-en</w:t>
                                  </w:r>
                                </w:p>
                              </w:tc>
                              <w:tc>
                                <w:tcPr>
                                  <w:tcW w:w="6285" w:type="dxa"/>
                                  <w:shd w:val="clear" w:color="auto" w:fill="auto"/>
                                  <w:vAlign w:val="bottom"/>
                                </w:tcPr>
                                <w:p w14:paraId="2338FDB2" w14:textId="77777777" w:rsidR="00F4297A" w:rsidRPr="008D1B2B" w:rsidRDefault="00F4297A" w:rsidP="00F4297A">
                                  <w:pPr>
                                    <w:pStyle w:val="FJSmallPrint"/>
                                  </w:pPr>
                                  <w:r w:rsidRPr="00A37B10">
                                    <w:rPr>
                                      <w:lang w:val="en-GB"/>
                                    </w:rPr>
                                    <w:t>© Fujitsu 202</w:t>
                                  </w:r>
                                  <w:r>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r>
                                    <w:rPr>
                                      <w:lang w:val="en-GB"/>
                                    </w:rPr>
                                    <w:t xml:space="preserve"> FUJITSU-PUBLIC</w:t>
                                  </w:r>
                                </w:p>
                              </w:tc>
                            </w:tr>
                          </w:tbl>
                          <w:p w14:paraId="6416948D" w14:textId="77777777" w:rsidR="00A7419C" w:rsidRDefault="00A7419C" w:rsidP="00A7419C">
                            <w:pPr>
                              <w:pStyle w:val="FJContactDetails"/>
                            </w:pPr>
                          </w:p>
                        </w:txbxContent>
                      </wps:txbx>
                      <wps:bodyPr rot="0" vert="horz" wrap="square" lIns="252000" tIns="36000" rIns="25200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FCCCD4B" id="Text Box 2" o:spid="_x0000_s1027" type="#_x0000_t202" style="position:absolute;margin-left:-34.65pt;margin-top:677.4pt;width:591.2pt;height:10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" fillcolor="white [3212]" stroked="f">
                <v:textbox inset="7mm,1mm,7mm,1mm">
                  <w:txbxContent>
                    <w:tbl>
                      <w:tblPr>
                        <w:tblStyle w:val="TableGrid"/>
                        <w:tblW w:w="10387"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102"/>
                        <w:gridCol w:w="6285"/>
                      </w:tblGrid>
                      <w:tr w:rsidR="00F4297A" w14:paraId="5C695607" w14:textId="77777777" w:rsidTr="00EC3ECB">
                        <w:trPr>
                          <w:trHeight w:val="1763"/>
                        </w:trPr>
                        <w:tc>
                          <w:tcPr>
                            <w:tcW w:w="4102" w:type="dxa"/>
                            <w:shd w:val="clear" w:color="auto" w:fill="auto"/>
                            <w:vAlign w:val="bottom"/>
                          </w:tcPr>
                          <w:p w14:paraId="7E395250" w14:textId="77777777" w:rsidR="00F4297A" w:rsidRPr="00A37B10" w:rsidRDefault="00F4297A" w:rsidP="00F4297A">
                            <w:pPr>
                              <w:pStyle w:val="FJContactHeader"/>
                              <w:rPr>
                                <w:lang w:val="en-GB"/>
                              </w:rPr>
                            </w:pPr>
                            <w:r w:rsidRPr="00A37B10">
                              <w:rPr>
                                <w:lang w:val="en-GB"/>
                              </w:rPr>
                              <w:t>Contact</w:t>
                            </w:r>
                          </w:p>
                          <w:p w14:paraId="7817C7A3" w14:textId="77777777"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Fujitsu Technology Solutions GmbH</w:t>
                            </w:r>
                          </w:p>
                          <w:p w14:paraId="4352ACBA" w14:textId="77777777"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Mies-van-der-Rohe-Strasse 8</w:t>
                            </w:r>
                          </w:p>
                          <w:p w14:paraId="55B946CB" w14:textId="77777777"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D-80807 Munich</w:t>
                            </w:r>
                          </w:p>
                          <w:p w14:paraId="3FDDB0D0" w14:textId="3C5383B5" w:rsidR="00F4297A" w:rsidRPr="00CB1A94" w:rsidRDefault="00F4297A" w:rsidP="00F4297A">
                            <w:pPr>
                              <w:pStyle w:val="FJContactDetails"/>
                              <w:rPr>
                                <w:rFonts w:eastAsia="MS Mincho" w:cs="FujitsuInfinityPro-Regular"/>
                                <w:snapToGrid/>
                                <w:kern w:val="0"/>
                                <w:position w:val="0"/>
                                <w:sz w:val="18"/>
                                <w:lang w:val="de-DE" w:eastAsia="en-GB"/>
                              </w:rPr>
                            </w:pPr>
                            <w:r w:rsidRPr="00CB1A94">
                              <w:rPr>
                                <w:rFonts w:eastAsia="MS Mincho" w:cs="FujitsuInfinityPro-Regular"/>
                                <w:snapToGrid/>
                                <w:kern w:val="0"/>
                                <w:position w:val="0"/>
                                <w:sz w:val="18"/>
                                <w:lang w:val="de-DE" w:eastAsia="en-GB"/>
                              </w:rPr>
                              <w:t xml:space="preserve">Internet: </w:t>
                            </w:r>
                            <w:hyperlink r:id="rId43" w:history="1">
                              <w:r w:rsidRPr="00CB1A94">
                                <w:rPr>
                                  <w:rStyle w:val="Hyperlink"/>
                                  <w:rFonts w:eastAsia="MS Mincho" w:cs="FujitsuInfinityPro-Regular"/>
                                  <w:snapToGrid/>
                                  <w:kern w:val="0"/>
                                  <w:position w:val="0"/>
                                  <w:sz w:val="18"/>
                                  <w:lang w:val="de-DE" w:eastAsia="en-GB"/>
                                </w:rPr>
                                <w:t>www.fujitsu.com/dataprotection</w:t>
                              </w:r>
                            </w:hyperlink>
                            <w:r w:rsidRPr="00CB1A94">
                              <w:rPr>
                                <w:rFonts w:eastAsia="MS Mincho" w:cs="FujitsuInfinityPro-Regular"/>
                                <w:snapToGrid/>
                                <w:kern w:val="0"/>
                                <w:position w:val="0"/>
                                <w:sz w:val="18"/>
                                <w:lang w:val="de-DE" w:eastAsia="en-GB"/>
                              </w:rPr>
                              <w:t xml:space="preserve"> </w:t>
                            </w:r>
                          </w:p>
                          <w:p w14:paraId="36D4F7F3" w14:textId="4A66B9A8" w:rsidR="00F4297A" w:rsidRPr="002F6CD0" w:rsidRDefault="00F4297A" w:rsidP="00F4297A">
                            <w:pPr>
                              <w:pStyle w:val="FJContactDetails"/>
                            </w:pPr>
                            <w:r w:rsidRPr="00CB1A94">
                              <w:rPr>
                                <w:rFonts w:eastAsia="MS Mincho" w:cs="FujitsuInfinityPro-Regular"/>
                                <w:snapToGrid/>
                                <w:kern w:val="0"/>
                                <w:position w:val="0"/>
                                <w:sz w:val="18"/>
                                <w:lang w:val="de-DE" w:eastAsia="en-GB"/>
                              </w:rPr>
                              <w:t>Date: 2022-0</w:t>
                            </w:r>
                            <w:r w:rsidR="00C26AF6">
                              <w:rPr>
                                <w:rFonts w:eastAsia="MS Mincho" w:cs="FujitsuInfinityPro-Regular"/>
                                <w:snapToGrid/>
                                <w:kern w:val="0"/>
                                <w:position w:val="0"/>
                                <w:sz w:val="18"/>
                                <w:lang w:val="de-DE" w:eastAsia="en-GB"/>
                              </w:rPr>
                              <w:t>9-</w:t>
                            </w:r>
                            <w:r w:rsidR="00EC4136">
                              <w:rPr>
                                <w:rFonts w:eastAsia="MS Mincho" w:cs="FujitsuInfinityPro-Regular"/>
                                <w:snapToGrid/>
                                <w:kern w:val="0"/>
                                <w:position w:val="0"/>
                                <w:sz w:val="18"/>
                                <w:lang w:val="de-DE" w:eastAsia="en-GB"/>
                              </w:rPr>
                              <w:t>3</w:t>
                            </w:r>
                            <w:r w:rsidR="00001EEA">
                              <w:rPr>
                                <w:rFonts w:eastAsia="MS Mincho" w:cs="FujitsuInfinityPro-Regular"/>
                                <w:snapToGrid/>
                                <w:kern w:val="0"/>
                                <w:position w:val="0"/>
                                <w:sz w:val="18"/>
                                <w:lang w:val="de-DE" w:eastAsia="en-GB"/>
                              </w:rPr>
                              <w:t>0</w:t>
                            </w:r>
                            <w:r w:rsidRPr="00CB1A94">
                              <w:rPr>
                                <w:rFonts w:eastAsia="MS Mincho" w:cs="FujitsuInfinityPro-Regular"/>
                                <w:snapToGrid/>
                                <w:kern w:val="0"/>
                                <w:position w:val="0"/>
                                <w:sz w:val="18"/>
                                <w:lang w:val="de-DE" w:eastAsia="en-GB"/>
                              </w:rPr>
                              <w:t xml:space="preserve"> ww-en</w:t>
                            </w:r>
                          </w:p>
                        </w:tc>
                        <w:tc>
                          <w:tcPr>
                            <w:tcW w:w="6285" w:type="dxa"/>
                            <w:shd w:val="clear" w:color="auto" w:fill="auto"/>
                            <w:vAlign w:val="bottom"/>
                          </w:tcPr>
                          <w:p w14:paraId="2338FDB2" w14:textId="77777777" w:rsidR="00F4297A" w:rsidRPr="008D1B2B" w:rsidRDefault="00F4297A" w:rsidP="00F4297A">
                            <w:pPr>
                              <w:pStyle w:val="FJSmallPrint"/>
                            </w:pPr>
                            <w:r w:rsidRPr="00A37B10">
                              <w:rPr>
                                <w:lang w:val="en-GB"/>
                              </w:rPr>
                              <w:t>© Fujitsu 202</w:t>
                            </w:r>
                            <w:r>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r>
                              <w:rPr>
                                <w:lang w:val="en-GB"/>
                              </w:rPr>
                              <w:t xml:space="preserve"> FUJITSU-PUBLIC</w:t>
                            </w:r>
                          </w:p>
                        </w:tc>
                      </w:tr>
                    </w:tbl>
                    <w:p w14:paraId="6416948D" w14:textId="77777777" w:rsidR="00A7419C" w:rsidRDefault="00A7419C" w:rsidP="00A7419C">
                      <w:pPr>
                        <w:pStyle w:val="FJContactDetails"/>
                      </w:pPr>
                    </w:p>
                  </w:txbxContent>
                </v:textbox>
                <w10:wrap type="square" anchory="page"/>
              </v:shape>
            </w:pict>
          </mc:Fallback>
        </mc:AlternateContent>
      </w:r>
    </w:p>
    <w:sectPr w:rsidR="00793640" w:rsidRPr="00F4297A" w:rsidSect="00001EEA">
      <w:footerReference w:type="default" r:id="rId44"/>
      <w:type w:val="continuous"/>
      <w:pgSz w:w="11906" w:h="16838" w:code="9"/>
      <w:pgMar w:top="-1701" w:right="743" w:bottom="998" w:left="743" w:header="737" w:footer="737" w:gutter="0"/>
      <w:cols w:space="1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3434" w14:textId="77777777" w:rsidR="00CE7D0F" w:rsidRDefault="00CE7D0F" w:rsidP="003F5BEC">
      <w:r>
        <w:separator/>
      </w:r>
    </w:p>
    <w:p w14:paraId="6E7897DD" w14:textId="77777777" w:rsidR="00CE7D0F" w:rsidRDefault="00CE7D0F" w:rsidP="003F5BEC"/>
    <w:p w14:paraId="2366E58F" w14:textId="77777777" w:rsidR="00CE7D0F" w:rsidRDefault="00CE7D0F" w:rsidP="003F5BEC"/>
    <w:p w14:paraId="3D81648F" w14:textId="77777777" w:rsidR="00CE7D0F" w:rsidRDefault="00CE7D0F" w:rsidP="003F5BEC"/>
  </w:endnote>
  <w:endnote w:type="continuationSeparator" w:id="0">
    <w:p w14:paraId="791BD6FE" w14:textId="77777777" w:rsidR="00CE7D0F" w:rsidRDefault="00CE7D0F" w:rsidP="003F5BEC">
      <w:r>
        <w:continuationSeparator/>
      </w:r>
    </w:p>
    <w:p w14:paraId="3C13D0CD" w14:textId="77777777" w:rsidR="00CE7D0F" w:rsidRDefault="00CE7D0F" w:rsidP="003F5BEC"/>
    <w:p w14:paraId="5F3E0C22" w14:textId="77777777" w:rsidR="00CE7D0F" w:rsidRDefault="00CE7D0F" w:rsidP="003F5BEC"/>
    <w:p w14:paraId="6A644F03" w14:textId="77777777" w:rsidR="00CE7D0F" w:rsidRDefault="00CE7D0F" w:rsidP="003F5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jitsu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ujitsu Infinity Pro">
    <w:panose1 w:val="00000000000000000000"/>
    <w:charset w:val="00"/>
    <w:family w:val="auto"/>
    <w:pitch w:val="variable"/>
    <w:sig w:usb0="A000004F" w:usb1="0000005B" w:usb2="00000000" w:usb3="00000000" w:csb0="00000093" w:csb1="00000000"/>
  </w:font>
  <w:font w:name="Fujitsu Sans Light">
    <w:altName w:val="Calibri"/>
    <w:panose1 w:val="020B0304060202020204"/>
    <w:charset w:val="00"/>
    <w:family w:val="swiss"/>
    <w:pitch w:val="variable"/>
    <w:sig w:usb0="A00000AF" w:usb1="0000206B"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ujitsu Infinity Pro Bold">
    <w:panose1 w:val="00000000000000000000"/>
    <w:charset w:val="00"/>
    <w:family w:val="auto"/>
    <w:pitch w:val="variable"/>
    <w:sig w:usb0="A000004F" w:usb1="0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Fujitsu Sans">
    <w:altName w:val="Calibri"/>
    <w:panose1 w:val="020B0404060202020204"/>
    <w:charset w:val="00"/>
    <w:family w:val="swiss"/>
    <w:pitch w:val="variable"/>
    <w:sig w:usb0="A00000AF" w:usb1="0000206B" w:usb2="00000000" w:usb3="00000000" w:csb0="00000001" w:csb1="00000000"/>
  </w:font>
  <w:font w:name="Fujitsu Infinity Pro Bold It">
    <w:panose1 w:val="00000000000000000000"/>
    <w:charset w:val="00"/>
    <w:family w:val="auto"/>
    <w:pitch w:val="variable"/>
    <w:sig w:usb0="A000004F" w:usb1="0000005B" w:usb2="00000000" w:usb3="00000000" w:csb0="00000093" w:csb1="00000000"/>
  </w:font>
  <w:font w:name="Fujitsu Sans Medium">
    <w:altName w:val="Calibri"/>
    <w:panose1 w:val="020B0504060202020204"/>
    <w:charset w:val="00"/>
    <w:family w:val="swiss"/>
    <w:pitch w:val="variable"/>
    <w:sig w:usb0="A00000AF" w:usb1="0000206B" w:usb2="00000000" w:usb3="00000000" w:csb0="00000001" w:csb1="00000000"/>
  </w:font>
  <w:font w:name="Fujitsu Infinity Pro Light">
    <w:altName w:val="Calibri"/>
    <w:panose1 w:val="00000000000000000000"/>
    <w:charset w:val="00"/>
    <w:family w:val="auto"/>
    <w:pitch w:val="variable"/>
    <w:sig w:usb0="A000004F" w:usb1="0000005B" w:usb2="00000000" w:usb3="00000000" w:csb0="00000093" w:csb1="00000000"/>
  </w:font>
  <w:font w:name="Calibri">
    <w:panose1 w:val="020F0502020204030204"/>
    <w:charset w:val="00"/>
    <w:family w:val="swiss"/>
    <w:pitch w:val="variable"/>
    <w:sig w:usb0="E4002EFF" w:usb1="C000247B" w:usb2="00000009" w:usb3="00000000" w:csb0="000001FF" w:csb1="00000000"/>
  </w:font>
  <w:font w:name="Fujitsu Infinity Pro Italic">
    <w:panose1 w:val="00000000000000000000"/>
    <w:charset w:val="00"/>
    <w:family w:val="auto"/>
    <w:pitch w:val="variable"/>
    <w:sig w:usb0="A000004F" w:usb1="0000005B" w:usb2="00000000" w:usb3="00000000" w:csb0="00000093" w:csb1="00000000"/>
  </w:font>
  <w:font w:name="FujitsuInfinity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33F2" w14:textId="6F538669" w:rsidR="00B24E75" w:rsidRPr="00EC7196" w:rsidRDefault="00D04349" w:rsidP="00EC7196">
    <w:pPr>
      <w:pStyle w:val="FJFooter"/>
      <w:tabs>
        <w:tab w:val="clear" w:pos="5390"/>
      </w:tabs>
      <w:rPr>
        <w:snapToGrid/>
        <w:sz w:val="14"/>
      </w:rPr>
    </w:pPr>
    <w:r>
      <w:rPr>
        <w:rStyle w:val="FujitsuInfinityProBold"/>
      </w:rPr>
      <w:t>F</w:t>
    </w:r>
    <w:r w:rsidR="00EC78EA">
      <w:rPr>
        <w:rStyle w:val="FujitsuInfinityProBold"/>
      </w:rPr>
      <w:t>UJITSU</w:t>
    </w:r>
    <w:r w:rsidR="00CD317A">
      <w:rPr>
        <w:rStyle w:val="FujitsuInfinityProBold"/>
      </w:rPr>
      <w:t xml:space="preserve">-PUBLIC </w:t>
    </w:r>
    <w:r w:rsidR="000C35AE">
      <w:t xml:space="preserve">  Uncontrolled if printed</w:t>
    </w:r>
    <w:r w:rsidR="000C35AE">
      <w:tab/>
    </w:r>
    <w:r w:rsidR="000C35AE">
      <w:fldChar w:fldCharType="begin"/>
    </w:r>
    <w:r w:rsidR="000C35AE">
      <w:instrText xml:space="preserve"> PAGE   \* MERGEFORMAT </w:instrText>
    </w:r>
    <w:r w:rsidR="000C35AE">
      <w:fldChar w:fldCharType="separate"/>
    </w:r>
    <w:r w:rsidR="000C35AE">
      <w:t>1</w:t>
    </w:r>
    <w:r w:rsidR="000C35AE">
      <w:fldChar w:fldCharType="end"/>
    </w:r>
    <w:r w:rsidR="000C35AE">
      <w:t xml:space="preserve"> of </w:t>
    </w:r>
    <w:r w:rsidR="000C35AE">
      <w:fldChar w:fldCharType="begin"/>
    </w:r>
    <w:r w:rsidR="000C35AE">
      <w:instrText xml:space="preserve"> NUMPAGES </w:instrText>
    </w:r>
    <w:r w:rsidR="000C35AE">
      <w:fldChar w:fldCharType="separate"/>
    </w:r>
    <w:r w:rsidR="000C35AE">
      <w:t>4</w:t>
    </w:r>
    <w:r w:rsidR="000C35AE">
      <w:fldChar w:fldCharType="end"/>
    </w:r>
    <w:r w:rsidR="000C35AE">
      <w:t xml:space="preserve">   © Fujitsu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B24E75" w:rsidRPr="00692D59" w14:paraId="2F5C0804" w14:textId="77777777">
      <w:trPr>
        <w:trHeight w:hRule="exact" w:val="238"/>
      </w:trPr>
      <w:tc>
        <w:tcPr>
          <w:tcW w:w="5278" w:type="dxa"/>
          <w:vAlign w:val="center"/>
        </w:tcPr>
        <w:p w14:paraId="4953F812" w14:textId="77777777" w:rsidR="00B24E75" w:rsidRDefault="00B24E75" w:rsidP="003F5BEC">
          <w:pPr>
            <w:pStyle w:val="FSPaginationRegular"/>
          </w:pPr>
          <w:r>
            <w:t xml:space="preserve">Page </w:t>
          </w:r>
          <w:r w:rsidR="00746188">
            <w:fldChar w:fldCharType="begin"/>
          </w:r>
          <w:r w:rsidR="00746188">
            <w:instrText xml:space="preserve"> PAGE   \* MERGEFORMAT </w:instrText>
          </w:r>
          <w:r w:rsidR="00746188">
            <w:fldChar w:fldCharType="separate"/>
          </w:r>
          <w:r>
            <w:rPr>
              <w:noProof/>
              <w:lang w:val="ja-JP"/>
            </w:rPr>
            <w:t>1</w:t>
          </w:r>
          <w:r w:rsidR="00746188">
            <w:rPr>
              <w:noProof/>
              <w:lang w:val="ja-JP"/>
            </w:rPr>
            <w:fldChar w:fldCharType="end"/>
          </w:r>
          <w:r>
            <w:t xml:space="preserve"> of </w:t>
          </w:r>
          <w:r w:rsidR="00874F7E">
            <w:rPr>
              <w:noProof/>
            </w:rPr>
            <w:fldChar w:fldCharType="begin"/>
          </w:r>
          <w:r w:rsidR="00874F7E">
            <w:rPr>
              <w:noProof/>
            </w:rPr>
            <w:instrText xml:space="preserve"> NUMPAGES   \* MERGEFORMAT </w:instrText>
          </w:r>
          <w:r w:rsidR="00874F7E">
            <w:rPr>
              <w:noProof/>
            </w:rPr>
            <w:fldChar w:fldCharType="separate"/>
          </w:r>
          <w:r w:rsidR="00342333">
            <w:rPr>
              <w:noProof/>
            </w:rPr>
            <w:t>2</w:t>
          </w:r>
          <w:r w:rsidR="00874F7E">
            <w:rPr>
              <w:noProof/>
            </w:rPr>
            <w:fldChar w:fldCharType="end"/>
          </w:r>
        </w:p>
      </w:tc>
      <w:tc>
        <w:tcPr>
          <w:tcW w:w="182" w:type="dxa"/>
          <w:vAlign w:val="center"/>
        </w:tcPr>
        <w:p w14:paraId="35609EE9" w14:textId="77777777" w:rsidR="00B24E75" w:rsidRDefault="00B24E75" w:rsidP="003F5BEC">
          <w:pPr>
            <w:pStyle w:val="FSPaginationRegular"/>
          </w:pPr>
        </w:p>
      </w:tc>
      <w:tc>
        <w:tcPr>
          <w:tcW w:w="5285" w:type="dxa"/>
          <w:vAlign w:val="center"/>
        </w:tcPr>
        <w:p w14:paraId="56BD185A" w14:textId="3C31B0CC" w:rsidR="00B24E75" w:rsidRPr="00154B72" w:rsidRDefault="00B24E75" w:rsidP="003F5BEC">
          <w:pPr>
            <w:pStyle w:val="FSWebsiteBold"/>
            <w:rPr>
              <w:rFonts w:eastAsia="MS Mincho"/>
              <w:lang w:val="de-DE"/>
            </w:rPr>
          </w:pPr>
          <w:r w:rsidRPr="00154B72">
            <w:rPr>
              <w:lang w:val="de-DE"/>
            </w:rPr>
            <w:t>www.fujitsu.com/</w:t>
          </w:r>
          <w:r w:rsidR="001272B5">
            <w:fldChar w:fldCharType="begin"/>
          </w:r>
          <w:r w:rsidRPr="00154B72">
            <w:rPr>
              <w:lang w:val="de-DE"/>
            </w:rPr>
            <w:instrText xml:space="preserve"> DOCPROPERTY  Subject  \* MERGEFORMAT </w:instrText>
          </w:r>
          <w:r w:rsidR="001272B5">
            <w:fldChar w:fldCharType="separate"/>
          </w:r>
          <w:r w:rsidR="00682986">
            <w:rPr>
              <w:b/>
              <w:bCs/>
              <w:lang w:val="de-DE"/>
            </w:rPr>
            <w:t>Fehler! Unbekannter Name für Dokument-Eigenschaft.</w:t>
          </w:r>
          <w:r w:rsidR="001272B5">
            <w:fldChar w:fldCharType="end"/>
          </w:r>
        </w:p>
      </w:tc>
    </w:tr>
  </w:tbl>
  <w:p w14:paraId="78AC5AB1" w14:textId="77777777" w:rsidR="00B24E75" w:rsidRPr="00154B72" w:rsidRDefault="00B24E75" w:rsidP="003F5BEC">
    <w:pPr>
      <w:pStyle w:val="FSPaginationRegula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7600" w14:textId="256FCEB2" w:rsidR="00001EEA" w:rsidRPr="00EC7196" w:rsidRDefault="00001EEA" w:rsidP="00EC7196">
    <w:pPr>
      <w:pStyle w:val="FJFooter"/>
      <w:tabs>
        <w:tab w:val="clear" w:pos="5390"/>
      </w:tabs>
      <w:rPr>
        <w:snapToGrid/>
        <w:sz w:val="14"/>
      </w:rPr>
    </w:pPr>
    <w:r>
      <w:t>Uncontrolled if printed</w:t>
    </w:r>
    <w:r>
      <w:tab/>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w:instrText>
    </w:r>
    <w:r>
      <w:fldChar w:fldCharType="separate"/>
    </w:r>
    <w:r>
      <w:t>4</w:t>
    </w:r>
    <w:r>
      <w:fldChar w:fldCharType="end"/>
    </w:r>
    <w:r>
      <w:t xml:space="preserve">   © Fujitsu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D40F0" w14:textId="77777777" w:rsidR="00CE7D0F" w:rsidRDefault="00CE7D0F" w:rsidP="003F5BEC">
      <w:r>
        <w:separator/>
      </w:r>
    </w:p>
    <w:p w14:paraId="7E512EFF" w14:textId="77777777" w:rsidR="00CE7D0F" w:rsidRDefault="00CE7D0F" w:rsidP="003F5BEC"/>
    <w:p w14:paraId="0B84D790" w14:textId="77777777" w:rsidR="00CE7D0F" w:rsidRDefault="00CE7D0F" w:rsidP="003F5BEC"/>
    <w:p w14:paraId="024E6A96" w14:textId="77777777" w:rsidR="00CE7D0F" w:rsidRDefault="00CE7D0F" w:rsidP="003F5BEC"/>
  </w:footnote>
  <w:footnote w:type="continuationSeparator" w:id="0">
    <w:p w14:paraId="77A0441B" w14:textId="77777777" w:rsidR="00CE7D0F" w:rsidRDefault="00CE7D0F" w:rsidP="003F5BEC">
      <w:r>
        <w:continuationSeparator/>
      </w:r>
    </w:p>
    <w:p w14:paraId="5A61A5A3" w14:textId="77777777" w:rsidR="00CE7D0F" w:rsidRDefault="00CE7D0F" w:rsidP="003F5BEC"/>
    <w:p w14:paraId="6F1C325B" w14:textId="77777777" w:rsidR="00CE7D0F" w:rsidRDefault="00CE7D0F" w:rsidP="003F5BEC"/>
    <w:p w14:paraId="27C4CC97" w14:textId="77777777" w:rsidR="00CE7D0F" w:rsidRDefault="00CE7D0F" w:rsidP="003F5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DC96" w14:textId="11A0808C" w:rsidR="00B24E75" w:rsidRPr="00EC6583" w:rsidRDefault="00DC221F" w:rsidP="00EC6583">
    <w:pPr>
      <w:pStyle w:val="FSPublicationRegular"/>
    </w:pPr>
    <w:r w:rsidRPr="00924FFA">
      <w:rPr>
        <w:rStyle w:val="Bold"/>
        <w:noProof/>
      </w:rPr>
      <w:drawing>
        <wp:anchor distT="0" distB="0" distL="114300" distR="114300" simplePos="0" relativeHeight="251642368" behindDoc="0" locked="0" layoutInCell="1" allowOverlap="1" wp14:anchorId="0151DA30" wp14:editId="3C2C1CE8">
          <wp:simplePos x="0" y="0"/>
          <wp:positionH relativeFrom="column">
            <wp:posOffset>3810</wp:posOffset>
          </wp:positionH>
          <wp:positionV relativeFrom="line">
            <wp:posOffset>-2675255</wp:posOffset>
          </wp:positionV>
          <wp:extent cx="1548130" cy="963930"/>
          <wp:effectExtent l="0" t="0" r="0" b="0"/>
          <wp:wrapNone/>
          <wp:docPr id="23" name="Bild 22"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4cr"/>
                  <pic:cNvPicPr>
                    <a:picLocks noChangeAspect="1" noChangeArrowheads="1"/>
                  </pic:cNvPicPr>
                </pic:nvPicPr>
                <pic:blipFill>
                  <a:blip r:embed="rId1"/>
                  <a:srcRect/>
                  <a:stretch>
                    <a:fillRect/>
                  </a:stretch>
                </pic:blipFill>
                <pic:spPr bwMode="auto">
                  <a:xfrm>
                    <a:off x="0" y="0"/>
                    <a:ext cx="1548130" cy="963930"/>
                  </a:xfrm>
                  <a:prstGeom prst="rect">
                    <a:avLst/>
                  </a:prstGeom>
                  <a:noFill/>
                </pic:spPr>
              </pic:pic>
            </a:graphicData>
          </a:graphic>
        </wp:anchor>
      </w:drawing>
    </w:r>
    <w:r w:rsidR="00A7419C" w:rsidRPr="00924FFA">
      <w:rPr>
        <w:rFonts w:ascii="Fujitsu Infinity Pro Bold" w:hAnsi="Fujitsu Infinity Pro Bold"/>
      </w:rPr>
      <w:t>White Paper</w:t>
    </w:r>
    <w:r w:rsidR="00A7419C">
      <w:t xml:space="preserve"> Data Protection for </w:t>
    </w:r>
    <w:r w:rsidR="00D04349">
      <w:t>Fujitsu</w:t>
    </w:r>
    <w:r w:rsidR="00A7419C">
      <w:t xml:space="preserve"> Integrated System PRIMEFLEX</w:t>
    </w:r>
    <w:r w:rsidR="00D04349">
      <w:t xml:space="preserve"> with Veeam / 2022-</w:t>
    </w:r>
    <w:r w:rsidR="00070CFE">
      <w:t>09-</w:t>
    </w:r>
    <w:r w:rsidR="00EC4136">
      <w:t>3</w:t>
    </w:r>
    <w:r w:rsidR="009B2E85">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1282" w14:textId="77777777" w:rsidR="00B24E75" w:rsidRDefault="00DC221F" w:rsidP="003F5BEC">
    <w:pPr>
      <w:pStyle w:val="FSPublicationRegular"/>
      <w:rPr>
        <w:rFonts w:eastAsia="MS Mincho"/>
      </w:rPr>
    </w:pPr>
    <w:r>
      <w:rPr>
        <w:rFonts w:ascii="Fujitsu Sans Medium" w:hAnsi="Fujitsu Sans Medium"/>
        <w:noProof/>
        <w:snapToGrid/>
        <w:color w:val="FF0000"/>
        <w:lang w:val="en-GB" w:eastAsia="en-GB"/>
      </w:rPr>
      <w:drawing>
        <wp:anchor distT="0" distB="0" distL="114300" distR="114300" simplePos="0" relativeHeight="251663360" behindDoc="0" locked="0" layoutInCell="1" allowOverlap="1" wp14:anchorId="035DD657" wp14:editId="41F46F51">
          <wp:simplePos x="0" y="0"/>
          <wp:positionH relativeFrom="margin">
            <wp:posOffset>5408930</wp:posOffset>
          </wp:positionH>
          <wp:positionV relativeFrom="page">
            <wp:posOffset>302260</wp:posOffset>
          </wp:positionV>
          <wp:extent cx="1438910" cy="709930"/>
          <wp:effectExtent l="19050" t="0" r="8890" b="0"/>
          <wp:wrapNone/>
          <wp:docPr id="24" name="Bild 21"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4cr"/>
                  <pic:cNvPicPr>
                    <a:picLocks noChangeAspect="1" noChangeArrowheads="1"/>
                  </pic:cNvPicPr>
                </pic:nvPicPr>
                <pic:blipFill>
                  <a:blip r:embed="rId1"/>
                  <a:srcRect l="9778" t="17961" r="10307" b="18449"/>
                  <a:stretch>
                    <a:fillRect/>
                  </a:stretch>
                </pic:blipFill>
                <pic:spPr bwMode="auto">
                  <a:xfrm>
                    <a:off x="0" y="0"/>
                    <a:ext cx="1438910" cy="709930"/>
                  </a:xfrm>
                  <a:prstGeom prst="rect">
                    <a:avLst/>
                  </a:prstGeom>
                  <a:noFill/>
                </pic:spPr>
              </pic:pic>
            </a:graphicData>
          </a:graphic>
        </wp:anchor>
      </w:drawing>
    </w:r>
    <w:r>
      <w:rPr>
        <w:rFonts w:ascii="Fujitsu Sans Medium" w:hAnsi="Fujitsu Sans Medium"/>
        <w:noProof/>
        <w:snapToGrid/>
        <w:color w:val="FF0000"/>
        <w:lang w:val="en-GB" w:eastAsia="en-GB"/>
      </w:rPr>
      <w:drawing>
        <wp:anchor distT="0" distB="0" distL="114300" distR="114300" simplePos="0" relativeHeight="251659264" behindDoc="0" locked="0" layoutInCell="1" allowOverlap="1" wp14:anchorId="595F5A9B" wp14:editId="3A23C087">
          <wp:simplePos x="0" y="0"/>
          <wp:positionH relativeFrom="column">
            <wp:posOffset>3810</wp:posOffset>
          </wp:positionH>
          <wp:positionV relativeFrom="line">
            <wp:posOffset>-2675255</wp:posOffset>
          </wp:positionV>
          <wp:extent cx="1548130" cy="963930"/>
          <wp:effectExtent l="0" t="0" r="0" b="0"/>
          <wp:wrapNone/>
          <wp:docPr id="25" name="Bild 20" descr="sm4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4cr"/>
                  <pic:cNvPicPr>
                    <a:picLocks noChangeAspect="1" noChangeArrowheads="1"/>
                  </pic:cNvPicPr>
                </pic:nvPicPr>
                <pic:blipFill>
                  <a:blip r:embed="rId2"/>
                  <a:srcRect/>
                  <a:stretch>
                    <a:fillRect/>
                  </a:stretch>
                </pic:blipFill>
                <pic:spPr bwMode="auto">
                  <a:xfrm>
                    <a:off x="0" y="0"/>
                    <a:ext cx="1548130" cy="963930"/>
                  </a:xfrm>
                  <a:prstGeom prst="rect">
                    <a:avLst/>
                  </a:prstGeom>
                  <a:noFill/>
                </pic:spPr>
              </pic:pic>
            </a:graphicData>
          </a:graphic>
        </wp:anchor>
      </w:drawing>
    </w:r>
    <w:r w:rsidR="00B24E75">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FF5"/>
    <w:multiLevelType w:val="hybridMultilevel"/>
    <w:tmpl w:val="798C4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D5CEC"/>
    <w:multiLevelType w:val="hybridMultilevel"/>
    <w:tmpl w:val="2FE86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4F4BF9"/>
    <w:multiLevelType w:val="hybridMultilevel"/>
    <w:tmpl w:val="CBF88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6363C7"/>
    <w:multiLevelType w:val="hybridMultilevel"/>
    <w:tmpl w:val="44B65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400D75"/>
    <w:multiLevelType w:val="hybridMultilevel"/>
    <w:tmpl w:val="E8BE5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1A12EB"/>
    <w:multiLevelType w:val="multilevel"/>
    <w:tmpl w:val="561CE4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0E5578F"/>
    <w:multiLevelType w:val="hybridMultilevel"/>
    <w:tmpl w:val="C29EA7DA"/>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784B2F"/>
    <w:multiLevelType w:val="hybridMultilevel"/>
    <w:tmpl w:val="280235C8"/>
    <w:lvl w:ilvl="0" w:tplc="2EA83FBA">
      <w:start w:val="2"/>
      <w:numFmt w:val="bullet"/>
      <w:lvlText w:val="-"/>
      <w:lvlJc w:val="left"/>
      <w:pPr>
        <w:ind w:left="1440" w:hanging="360"/>
      </w:pPr>
      <w:rPr>
        <w:rFonts w:ascii="FujitsuSans" w:eastAsia="Times New Roman" w:hAnsi="FujitsuSan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1F152A52"/>
    <w:multiLevelType w:val="hybridMultilevel"/>
    <w:tmpl w:val="75E44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E304C4"/>
    <w:multiLevelType w:val="hybridMultilevel"/>
    <w:tmpl w:val="F63E64D2"/>
    <w:lvl w:ilvl="0" w:tplc="04070001">
      <w:start w:val="1"/>
      <w:numFmt w:val="bullet"/>
      <w:lvlText w:val=""/>
      <w:lvlJc w:val="left"/>
      <w:pPr>
        <w:ind w:left="720" w:hanging="360"/>
      </w:pPr>
      <w:rPr>
        <w:rFonts w:ascii="Symbol" w:hAnsi="Symbol" w:hint="default"/>
      </w:rPr>
    </w:lvl>
    <w:lvl w:ilvl="1" w:tplc="2EA83FBA">
      <w:start w:val="2"/>
      <w:numFmt w:val="bullet"/>
      <w:lvlText w:val="-"/>
      <w:lvlJc w:val="left"/>
      <w:pPr>
        <w:ind w:left="1440" w:hanging="360"/>
      </w:pPr>
      <w:rPr>
        <w:rFonts w:ascii="FujitsuSans" w:eastAsia="Times New Roman" w:hAnsi="FujitsuSans" w:cs="Arial"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396848"/>
    <w:multiLevelType w:val="hybridMultilevel"/>
    <w:tmpl w:val="D108A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8809AC"/>
    <w:multiLevelType w:val="hybridMultilevel"/>
    <w:tmpl w:val="D7846172"/>
    <w:lvl w:ilvl="0" w:tplc="CC1E4F32">
      <w:start w:val="1"/>
      <w:numFmt w:val="bullet"/>
      <w:pStyle w:val="FJBullets-Level1"/>
      <w:lvlText w:val="•"/>
      <w:lvlJc w:val="left"/>
      <w:pPr>
        <w:ind w:left="720" w:hanging="360"/>
      </w:pPr>
      <w:rPr>
        <w:rFonts w:ascii="Fujitsu Infinity Pro" w:hAnsi="Fujitsu Infinity Pro" w:hint="default"/>
      </w:rPr>
    </w:lvl>
    <w:lvl w:ilvl="1" w:tplc="08090019">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2B0088"/>
    <w:multiLevelType w:val="hybridMultilevel"/>
    <w:tmpl w:val="00F65F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A14BD"/>
    <w:multiLevelType w:val="hybridMultilevel"/>
    <w:tmpl w:val="AD9A6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5552AA"/>
    <w:multiLevelType w:val="hybridMultilevel"/>
    <w:tmpl w:val="FD16C2B8"/>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9C08C9"/>
    <w:multiLevelType w:val="hybridMultilevel"/>
    <w:tmpl w:val="E95E6A8A"/>
    <w:lvl w:ilvl="0" w:tplc="BB4CF1FA">
      <w:start w:val="1"/>
      <w:numFmt w:val="bullet"/>
      <w:pStyle w:val="BulletsLevel1"/>
      <w:lvlText w:val=""/>
      <w:lvlJc w:val="left"/>
      <w:pPr>
        <w:ind w:left="720" w:hanging="360"/>
      </w:pPr>
      <w:rPr>
        <w:rFonts w:ascii="Symbol" w:hAnsi="Symbol" w:hint="default"/>
        <w:color w:val="2400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F48CB"/>
    <w:multiLevelType w:val="hybridMultilevel"/>
    <w:tmpl w:val="C35296D4"/>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A13EBE"/>
    <w:multiLevelType w:val="hybridMultilevel"/>
    <w:tmpl w:val="889E7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B100B9"/>
    <w:multiLevelType w:val="hybridMultilevel"/>
    <w:tmpl w:val="B1964F52"/>
    <w:lvl w:ilvl="0" w:tplc="04070001">
      <w:start w:val="1"/>
      <w:numFmt w:val="bullet"/>
      <w:lvlText w:val=""/>
      <w:lvlJc w:val="left"/>
      <w:pPr>
        <w:ind w:left="720" w:hanging="360"/>
      </w:pPr>
      <w:rPr>
        <w:rFonts w:ascii="Symbol" w:hAnsi="Symbol" w:hint="default"/>
      </w:rPr>
    </w:lvl>
    <w:lvl w:ilvl="1" w:tplc="2EA83FBA">
      <w:start w:val="2"/>
      <w:numFmt w:val="bullet"/>
      <w:lvlText w:val="-"/>
      <w:lvlJc w:val="left"/>
      <w:pPr>
        <w:ind w:left="1440" w:hanging="360"/>
      </w:pPr>
      <w:rPr>
        <w:rFonts w:ascii="FujitsuSans" w:eastAsia="Times New Roman" w:hAnsi="FujitsuSan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9F33E7"/>
    <w:multiLevelType w:val="hybridMultilevel"/>
    <w:tmpl w:val="E1DEAC58"/>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6922D4"/>
    <w:multiLevelType w:val="hybridMultilevel"/>
    <w:tmpl w:val="8FCE5240"/>
    <w:lvl w:ilvl="0" w:tplc="D662ECF0">
      <w:start w:val="1"/>
      <w:numFmt w:val="bullet"/>
      <w:lvlText w:val=""/>
      <w:lvlJc w:val="left"/>
      <w:pPr>
        <w:ind w:left="720" w:hanging="360"/>
      </w:pPr>
      <w:rPr>
        <w:rFonts w:ascii="Symbol" w:hAnsi="Symbol" w:hint="default"/>
        <w:b w:val="0"/>
        <w:i w:val="0"/>
        <w:color w:val="000000" w:themeColor="text1"/>
        <w:sz w:val="18"/>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1A06F7"/>
    <w:multiLevelType w:val="multilevel"/>
    <w:tmpl w:val="A8902D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69C2072"/>
    <w:multiLevelType w:val="hybridMultilevel"/>
    <w:tmpl w:val="F4560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C862A7"/>
    <w:multiLevelType w:val="hybridMultilevel"/>
    <w:tmpl w:val="B5981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160E47"/>
    <w:multiLevelType w:val="hybridMultilevel"/>
    <w:tmpl w:val="F50A3640"/>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986213"/>
    <w:multiLevelType w:val="hybridMultilevel"/>
    <w:tmpl w:val="768E89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105CC7"/>
    <w:multiLevelType w:val="hybridMultilevel"/>
    <w:tmpl w:val="280E1C0C"/>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0865D64"/>
    <w:multiLevelType w:val="hybridMultilevel"/>
    <w:tmpl w:val="1166F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7E0005"/>
    <w:multiLevelType w:val="hybridMultilevel"/>
    <w:tmpl w:val="EE64F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2F4BBF"/>
    <w:multiLevelType w:val="hybridMultilevel"/>
    <w:tmpl w:val="46F46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FA307C"/>
    <w:multiLevelType w:val="multilevel"/>
    <w:tmpl w:val="FA8EB4CE"/>
    <w:lvl w:ilvl="0">
      <w:start w:val="1"/>
      <w:numFmt w:val="bullet"/>
      <w:pStyle w:val="FSBodycopyBullet1"/>
      <w:lvlText w:val=""/>
      <w:lvlJc w:val="left"/>
      <w:pPr>
        <w:tabs>
          <w:tab w:val="num" w:pos="227"/>
        </w:tabs>
        <w:ind w:left="227" w:hanging="227"/>
      </w:pPr>
      <w:rPr>
        <w:rFonts w:ascii="Wingdings" w:hAnsi="Wingdings" w:hint="default"/>
        <w:color w:val="FF0000"/>
      </w:rPr>
    </w:lvl>
    <w:lvl w:ilvl="1">
      <w:start w:val="1"/>
      <w:numFmt w:val="bullet"/>
      <w:lvlText w:val=""/>
      <w:lvlJc w:val="left"/>
      <w:pPr>
        <w:tabs>
          <w:tab w:val="num" w:pos="397"/>
        </w:tabs>
        <w:ind w:left="397" w:hanging="170"/>
      </w:pPr>
      <w:rPr>
        <w:rFonts w:ascii="Symbol" w:hAnsi="Symbol" w:hint="default"/>
        <w:color w:val="FF0000"/>
        <w:sz w:val="18"/>
      </w:rPr>
    </w:lvl>
    <w:lvl w:ilvl="2">
      <w:start w:val="1"/>
      <w:numFmt w:val="bullet"/>
      <w:lvlText w:val="&gt;"/>
      <w:lvlJc w:val="left"/>
      <w:pPr>
        <w:tabs>
          <w:tab w:val="num" w:pos="567"/>
        </w:tabs>
        <w:ind w:left="567" w:hanging="170"/>
      </w:pPr>
      <w:rPr>
        <w:rFonts w:ascii="Fujitsu Sans Light" w:hAnsi="Fujitsu Sans Light"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6414182E"/>
    <w:multiLevelType w:val="hybridMultilevel"/>
    <w:tmpl w:val="83C47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C17B01"/>
    <w:multiLevelType w:val="hybridMultilevel"/>
    <w:tmpl w:val="699C1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0B4690"/>
    <w:multiLevelType w:val="multilevel"/>
    <w:tmpl w:val="899EE3EC"/>
    <w:lvl w:ilvl="0">
      <w:start w:val="1"/>
      <w:numFmt w:val="bullet"/>
      <w:lvlText w:val=""/>
      <w:lvlJc w:val="left"/>
      <w:pPr>
        <w:tabs>
          <w:tab w:val="num" w:pos="227"/>
        </w:tabs>
        <w:ind w:left="227" w:hanging="227"/>
      </w:pPr>
      <w:rPr>
        <w:rFonts w:ascii="Symbol" w:hAnsi="Symbol" w:hint="default"/>
        <w:b w:val="0"/>
        <w:i w:val="0"/>
        <w:color w:val="000000" w:themeColor="text1"/>
        <w:sz w:val="18"/>
        <w:u w:color="000000" w:themeColor="text1"/>
      </w:rPr>
    </w:lvl>
    <w:lvl w:ilvl="1">
      <w:start w:val="1"/>
      <w:numFmt w:val="bullet"/>
      <w:lvlText w:val="–"/>
      <w:lvlJc w:val="left"/>
      <w:pPr>
        <w:tabs>
          <w:tab w:val="num" w:pos="397"/>
        </w:tabs>
        <w:ind w:left="397" w:hanging="170"/>
      </w:pPr>
      <w:rPr>
        <w:rFonts w:ascii="Fujitsu Sans Light" w:hAnsi="Fujitsu Sans Light" w:hint="default"/>
        <w:sz w:val="18"/>
      </w:rPr>
    </w:lvl>
    <w:lvl w:ilvl="2">
      <w:start w:val="1"/>
      <w:numFmt w:val="bullet"/>
      <w:lvlText w:val="&gt;"/>
      <w:lvlJc w:val="left"/>
      <w:pPr>
        <w:tabs>
          <w:tab w:val="num" w:pos="567"/>
        </w:tabs>
        <w:ind w:left="567" w:hanging="170"/>
      </w:pPr>
      <w:rPr>
        <w:rFonts w:ascii="Fujitsu Sans Light" w:hAnsi="Fujitsu Sans Light"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6C084AFA"/>
    <w:multiLevelType w:val="hybridMultilevel"/>
    <w:tmpl w:val="4EC42CC8"/>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255C8E"/>
    <w:multiLevelType w:val="hybridMultilevel"/>
    <w:tmpl w:val="9A3458C6"/>
    <w:lvl w:ilvl="0" w:tplc="04070001">
      <w:start w:val="1"/>
      <w:numFmt w:val="bullet"/>
      <w:lvlText w:val=""/>
      <w:lvlJc w:val="left"/>
      <w:pPr>
        <w:ind w:left="720" w:hanging="360"/>
      </w:pPr>
      <w:rPr>
        <w:rFonts w:ascii="Symbol" w:hAnsi="Symbol" w:hint="default"/>
      </w:rPr>
    </w:lvl>
    <w:lvl w:ilvl="1" w:tplc="2EA83FBA">
      <w:start w:val="2"/>
      <w:numFmt w:val="bullet"/>
      <w:lvlText w:val="-"/>
      <w:lvlJc w:val="left"/>
      <w:pPr>
        <w:ind w:left="1440" w:hanging="360"/>
      </w:pPr>
      <w:rPr>
        <w:rFonts w:ascii="FujitsuSans" w:eastAsia="Times New Roman" w:hAnsi="FujitsuSan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64030F"/>
    <w:multiLevelType w:val="hybridMultilevel"/>
    <w:tmpl w:val="01A44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1354C4B"/>
    <w:multiLevelType w:val="hybridMultilevel"/>
    <w:tmpl w:val="5D7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4F7F20"/>
    <w:multiLevelType w:val="hybridMultilevel"/>
    <w:tmpl w:val="66BE23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4133ECB"/>
    <w:multiLevelType w:val="hybridMultilevel"/>
    <w:tmpl w:val="58067524"/>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64D49A4"/>
    <w:multiLevelType w:val="hybridMultilevel"/>
    <w:tmpl w:val="9D624CD2"/>
    <w:lvl w:ilvl="0" w:tplc="D662ECF0">
      <w:start w:val="1"/>
      <w:numFmt w:val="bullet"/>
      <w:lvlText w:val=""/>
      <w:lvlJc w:val="left"/>
      <w:pPr>
        <w:ind w:left="720" w:hanging="360"/>
      </w:pPr>
      <w:rPr>
        <w:rFonts w:ascii="Symbol" w:hAnsi="Symbol" w:hint="default"/>
        <w:u w:color="FABF8F" w:themeColor="accent6"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94357BF"/>
    <w:multiLevelType w:val="hybridMultilevel"/>
    <w:tmpl w:val="FA1A6D7A"/>
    <w:lvl w:ilvl="0" w:tplc="84EA860A">
      <w:start w:val="1"/>
      <w:numFmt w:val="bullet"/>
      <w:pStyle w:val="FSTablebullets"/>
      <w:lvlText w:val=""/>
      <w:lvlJc w:val="left"/>
      <w:pPr>
        <w:ind w:left="360" w:hanging="360"/>
      </w:pPr>
      <w:rPr>
        <w:rFonts w:ascii="Symbol" w:hAnsi="Symbol" w:hint="default"/>
        <w:b w:val="0"/>
        <w:i w:val="0"/>
        <w:color w:val="auto"/>
        <w:sz w:val="1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1"/>
  </w:num>
  <w:num w:numId="2">
    <w:abstractNumId w:val="15"/>
  </w:num>
  <w:num w:numId="3">
    <w:abstractNumId w:val="5"/>
  </w:num>
  <w:num w:numId="4">
    <w:abstractNumId w:val="12"/>
  </w:num>
  <w:num w:numId="5">
    <w:abstractNumId w:val="30"/>
  </w:num>
  <w:num w:numId="6">
    <w:abstractNumId w:val="28"/>
  </w:num>
  <w:num w:numId="7">
    <w:abstractNumId w:val="33"/>
  </w:num>
  <w:num w:numId="8">
    <w:abstractNumId w:val="38"/>
  </w:num>
  <w:num w:numId="9">
    <w:abstractNumId w:val="35"/>
  </w:num>
  <w:num w:numId="10">
    <w:abstractNumId w:val="23"/>
  </w:num>
  <w:num w:numId="11">
    <w:abstractNumId w:val="8"/>
  </w:num>
  <w:num w:numId="12">
    <w:abstractNumId w:val="17"/>
  </w:num>
  <w:num w:numId="13">
    <w:abstractNumId w:val="9"/>
  </w:num>
  <w:num w:numId="14">
    <w:abstractNumId w:val="7"/>
  </w:num>
  <w:num w:numId="15">
    <w:abstractNumId w:val="13"/>
  </w:num>
  <w:num w:numId="16">
    <w:abstractNumId w:val="3"/>
  </w:num>
  <w:num w:numId="17">
    <w:abstractNumId w:val="25"/>
  </w:num>
  <w:num w:numId="18">
    <w:abstractNumId w:val="18"/>
  </w:num>
  <w:num w:numId="19">
    <w:abstractNumId w:val="22"/>
  </w:num>
  <w:num w:numId="20">
    <w:abstractNumId w:val="36"/>
  </w:num>
  <w:num w:numId="21">
    <w:abstractNumId w:val="1"/>
  </w:num>
  <w:num w:numId="22">
    <w:abstractNumId w:val="4"/>
  </w:num>
  <w:num w:numId="23">
    <w:abstractNumId w:val="32"/>
  </w:num>
  <w:num w:numId="24">
    <w:abstractNumId w:val="29"/>
  </w:num>
  <w:num w:numId="25">
    <w:abstractNumId w:val="0"/>
  </w:num>
  <w:num w:numId="26">
    <w:abstractNumId w:val="27"/>
  </w:num>
  <w:num w:numId="27">
    <w:abstractNumId w:val="31"/>
  </w:num>
  <w:num w:numId="28">
    <w:abstractNumId w:val="2"/>
  </w:num>
  <w:num w:numId="29">
    <w:abstractNumId w:val="10"/>
  </w:num>
  <w:num w:numId="30">
    <w:abstractNumId w:val="37"/>
  </w:num>
  <w:num w:numId="31">
    <w:abstractNumId w:val="6"/>
  </w:num>
  <w:num w:numId="32">
    <w:abstractNumId w:val="20"/>
  </w:num>
  <w:num w:numId="33">
    <w:abstractNumId w:val="21"/>
  </w:num>
  <w:num w:numId="34">
    <w:abstractNumId w:val="34"/>
  </w:num>
  <w:num w:numId="35">
    <w:abstractNumId w:val="19"/>
  </w:num>
  <w:num w:numId="36">
    <w:abstractNumId w:val="24"/>
  </w:num>
  <w:num w:numId="37">
    <w:abstractNumId w:val="26"/>
  </w:num>
  <w:num w:numId="38">
    <w:abstractNumId w:val="39"/>
  </w:num>
  <w:num w:numId="39">
    <w:abstractNumId w:val="16"/>
  </w:num>
  <w:num w:numId="40">
    <w:abstractNumId w:val="40"/>
  </w:num>
  <w:num w:numId="41">
    <w:abstractNumId w:val="14"/>
  </w:num>
  <w:num w:numId="4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hideSpellingError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425"/>
  <w:drawingGridHorizontalSpacing w:val="91"/>
  <w:drawingGridVerticalSpacing w:val="130"/>
  <w:displayHorizontalDrawingGridEvery w:val="2"/>
  <w:displayVerticalDrawingGridEvery w:val="2"/>
  <w:characterSpacingControl w:val="compressPunctuation"/>
  <w:hdrShapeDefaults>
    <o:shapedefaults v:ext="edit" spidmax="2050" style="mso-position-vertical-relative:line" fillcolor="#eee" stroke="f">
      <v:fill color="#eee"/>
      <v:stroke on="f"/>
      <v:textbox inset=".5mm,.5mm,.5mm,.5mm"/>
      <o:colormru v:ext="edit" colors="#a00,#d70000,red,#e8e1df"/>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54B72"/>
    <w:rsid w:val="00001EEA"/>
    <w:rsid w:val="0000297F"/>
    <w:rsid w:val="0002521F"/>
    <w:rsid w:val="00032212"/>
    <w:rsid w:val="00040208"/>
    <w:rsid w:val="00070CFE"/>
    <w:rsid w:val="000711CF"/>
    <w:rsid w:val="00073EAD"/>
    <w:rsid w:val="0008154A"/>
    <w:rsid w:val="000C35AE"/>
    <w:rsid w:val="000E022F"/>
    <w:rsid w:val="000F714E"/>
    <w:rsid w:val="001272B5"/>
    <w:rsid w:val="00127BBA"/>
    <w:rsid w:val="00137ED2"/>
    <w:rsid w:val="001402C3"/>
    <w:rsid w:val="0014564E"/>
    <w:rsid w:val="001540E2"/>
    <w:rsid w:val="00154B72"/>
    <w:rsid w:val="00161AB5"/>
    <w:rsid w:val="00171242"/>
    <w:rsid w:val="001832FB"/>
    <w:rsid w:val="00183631"/>
    <w:rsid w:val="00185D41"/>
    <w:rsid w:val="00194EBE"/>
    <w:rsid w:val="001D23BB"/>
    <w:rsid w:val="001D481E"/>
    <w:rsid w:val="001D7DBA"/>
    <w:rsid w:val="00230E0D"/>
    <w:rsid w:val="002315EA"/>
    <w:rsid w:val="0024446F"/>
    <w:rsid w:val="00246C20"/>
    <w:rsid w:val="0025694D"/>
    <w:rsid w:val="002663EC"/>
    <w:rsid w:val="00273AD3"/>
    <w:rsid w:val="00276C7B"/>
    <w:rsid w:val="00290F8E"/>
    <w:rsid w:val="002A1D08"/>
    <w:rsid w:val="002A6811"/>
    <w:rsid w:val="002C3F3E"/>
    <w:rsid w:val="002D5CA5"/>
    <w:rsid w:val="002E0099"/>
    <w:rsid w:val="002E22D7"/>
    <w:rsid w:val="002E33F6"/>
    <w:rsid w:val="003142F9"/>
    <w:rsid w:val="00332F24"/>
    <w:rsid w:val="00342333"/>
    <w:rsid w:val="00357811"/>
    <w:rsid w:val="003716AB"/>
    <w:rsid w:val="0037182D"/>
    <w:rsid w:val="00385F0A"/>
    <w:rsid w:val="00387E6C"/>
    <w:rsid w:val="0039598D"/>
    <w:rsid w:val="003A3345"/>
    <w:rsid w:val="003B5F82"/>
    <w:rsid w:val="003B6481"/>
    <w:rsid w:val="003C1BC8"/>
    <w:rsid w:val="003E211F"/>
    <w:rsid w:val="003E64B3"/>
    <w:rsid w:val="003F1E51"/>
    <w:rsid w:val="003F5BEC"/>
    <w:rsid w:val="003F5DAA"/>
    <w:rsid w:val="00407890"/>
    <w:rsid w:val="0041487A"/>
    <w:rsid w:val="00416782"/>
    <w:rsid w:val="00421729"/>
    <w:rsid w:val="00424461"/>
    <w:rsid w:val="00431D82"/>
    <w:rsid w:val="004A46D2"/>
    <w:rsid w:val="004A5A69"/>
    <w:rsid w:val="004B70F4"/>
    <w:rsid w:val="004C2F9E"/>
    <w:rsid w:val="004C4FBC"/>
    <w:rsid w:val="004D5E35"/>
    <w:rsid w:val="004F20C8"/>
    <w:rsid w:val="00505FF6"/>
    <w:rsid w:val="005109E9"/>
    <w:rsid w:val="005145F9"/>
    <w:rsid w:val="00531ECC"/>
    <w:rsid w:val="005358F9"/>
    <w:rsid w:val="00545879"/>
    <w:rsid w:val="005471CF"/>
    <w:rsid w:val="00552E7D"/>
    <w:rsid w:val="00565FA5"/>
    <w:rsid w:val="005662CE"/>
    <w:rsid w:val="005734E5"/>
    <w:rsid w:val="00582AAB"/>
    <w:rsid w:val="005930F3"/>
    <w:rsid w:val="005B4047"/>
    <w:rsid w:val="005C2BC1"/>
    <w:rsid w:val="005E67A2"/>
    <w:rsid w:val="00604859"/>
    <w:rsid w:val="00626B61"/>
    <w:rsid w:val="0063049F"/>
    <w:rsid w:val="006306A9"/>
    <w:rsid w:val="006446C3"/>
    <w:rsid w:val="00652526"/>
    <w:rsid w:val="006543E1"/>
    <w:rsid w:val="006637CB"/>
    <w:rsid w:val="006664EC"/>
    <w:rsid w:val="00670136"/>
    <w:rsid w:val="00682986"/>
    <w:rsid w:val="006832F0"/>
    <w:rsid w:val="00683CBC"/>
    <w:rsid w:val="00692D59"/>
    <w:rsid w:val="0069644D"/>
    <w:rsid w:val="00697E19"/>
    <w:rsid w:val="006B7CBD"/>
    <w:rsid w:val="006C5E4E"/>
    <w:rsid w:val="006C670B"/>
    <w:rsid w:val="006E733F"/>
    <w:rsid w:val="006F5607"/>
    <w:rsid w:val="007228EA"/>
    <w:rsid w:val="0073781A"/>
    <w:rsid w:val="00746188"/>
    <w:rsid w:val="00777926"/>
    <w:rsid w:val="00792BFE"/>
    <w:rsid w:val="00793640"/>
    <w:rsid w:val="00795FDA"/>
    <w:rsid w:val="007B1A6D"/>
    <w:rsid w:val="007B264D"/>
    <w:rsid w:val="007B40C9"/>
    <w:rsid w:val="007B6119"/>
    <w:rsid w:val="007D59B3"/>
    <w:rsid w:val="007D61E1"/>
    <w:rsid w:val="007F3654"/>
    <w:rsid w:val="007F5888"/>
    <w:rsid w:val="007F5EA0"/>
    <w:rsid w:val="00806E97"/>
    <w:rsid w:val="008231BF"/>
    <w:rsid w:val="008736B8"/>
    <w:rsid w:val="00874F7E"/>
    <w:rsid w:val="008761AE"/>
    <w:rsid w:val="008771DB"/>
    <w:rsid w:val="0088174E"/>
    <w:rsid w:val="00892639"/>
    <w:rsid w:val="008C15E8"/>
    <w:rsid w:val="008D065C"/>
    <w:rsid w:val="008E2E64"/>
    <w:rsid w:val="008E5B00"/>
    <w:rsid w:val="008F747F"/>
    <w:rsid w:val="00924E07"/>
    <w:rsid w:val="00924FFA"/>
    <w:rsid w:val="0092671F"/>
    <w:rsid w:val="00932491"/>
    <w:rsid w:val="00953986"/>
    <w:rsid w:val="0098382F"/>
    <w:rsid w:val="00992F07"/>
    <w:rsid w:val="009B2E85"/>
    <w:rsid w:val="009F03FB"/>
    <w:rsid w:val="00A361F8"/>
    <w:rsid w:val="00A408CE"/>
    <w:rsid w:val="00A413F9"/>
    <w:rsid w:val="00A4140B"/>
    <w:rsid w:val="00A43B2D"/>
    <w:rsid w:val="00A7419C"/>
    <w:rsid w:val="00A82B65"/>
    <w:rsid w:val="00A94E10"/>
    <w:rsid w:val="00AA2322"/>
    <w:rsid w:val="00AC193A"/>
    <w:rsid w:val="00AC4A92"/>
    <w:rsid w:val="00AC5232"/>
    <w:rsid w:val="00AC5CAB"/>
    <w:rsid w:val="00AD2638"/>
    <w:rsid w:val="00AD5993"/>
    <w:rsid w:val="00AE5DB5"/>
    <w:rsid w:val="00AF7509"/>
    <w:rsid w:val="00B20B36"/>
    <w:rsid w:val="00B225A2"/>
    <w:rsid w:val="00B24E75"/>
    <w:rsid w:val="00B25D32"/>
    <w:rsid w:val="00B34F6B"/>
    <w:rsid w:val="00B46729"/>
    <w:rsid w:val="00B65F83"/>
    <w:rsid w:val="00B767A3"/>
    <w:rsid w:val="00B86F1E"/>
    <w:rsid w:val="00B8740D"/>
    <w:rsid w:val="00B914E9"/>
    <w:rsid w:val="00B94019"/>
    <w:rsid w:val="00BB753A"/>
    <w:rsid w:val="00BC6B1F"/>
    <w:rsid w:val="00BD5FCB"/>
    <w:rsid w:val="00BD7C09"/>
    <w:rsid w:val="00BF4E59"/>
    <w:rsid w:val="00C0068B"/>
    <w:rsid w:val="00C01982"/>
    <w:rsid w:val="00C06B1A"/>
    <w:rsid w:val="00C1298D"/>
    <w:rsid w:val="00C15CBA"/>
    <w:rsid w:val="00C2061C"/>
    <w:rsid w:val="00C22CB0"/>
    <w:rsid w:val="00C26AF6"/>
    <w:rsid w:val="00C31F42"/>
    <w:rsid w:val="00C37B30"/>
    <w:rsid w:val="00C616B0"/>
    <w:rsid w:val="00C7043D"/>
    <w:rsid w:val="00C8376A"/>
    <w:rsid w:val="00CA7D6A"/>
    <w:rsid w:val="00CB1076"/>
    <w:rsid w:val="00CC6E80"/>
    <w:rsid w:val="00CD317A"/>
    <w:rsid w:val="00CE7D0F"/>
    <w:rsid w:val="00CF188C"/>
    <w:rsid w:val="00CF5CDE"/>
    <w:rsid w:val="00D01211"/>
    <w:rsid w:val="00D04349"/>
    <w:rsid w:val="00D11A04"/>
    <w:rsid w:val="00D2362D"/>
    <w:rsid w:val="00D25D13"/>
    <w:rsid w:val="00D37632"/>
    <w:rsid w:val="00D608F3"/>
    <w:rsid w:val="00D82C36"/>
    <w:rsid w:val="00D85868"/>
    <w:rsid w:val="00DA0A14"/>
    <w:rsid w:val="00DA2E05"/>
    <w:rsid w:val="00DC221F"/>
    <w:rsid w:val="00DC27BA"/>
    <w:rsid w:val="00DE13F9"/>
    <w:rsid w:val="00DF3DFB"/>
    <w:rsid w:val="00E112E2"/>
    <w:rsid w:val="00E11F9F"/>
    <w:rsid w:val="00E1501B"/>
    <w:rsid w:val="00E361A7"/>
    <w:rsid w:val="00E4586D"/>
    <w:rsid w:val="00E701AE"/>
    <w:rsid w:val="00E73F2E"/>
    <w:rsid w:val="00E85FAE"/>
    <w:rsid w:val="00EC1AC8"/>
    <w:rsid w:val="00EC2F94"/>
    <w:rsid w:val="00EC4136"/>
    <w:rsid w:val="00EC6583"/>
    <w:rsid w:val="00EC7196"/>
    <w:rsid w:val="00EC78EA"/>
    <w:rsid w:val="00ED1F3A"/>
    <w:rsid w:val="00EF3249"/>
    <w:rsid w:val="00EF5E56"/>
    <w:rsid w:val="00F213C2"/>
    <w:rsid w:val="00F23A11"/>
    <w:rsid w:val="00F25624"/>
    <w:rsid w:val="00F31DB7"/>
    <w:rsid w:val="00F4297A"/>
    <w:rsid w:val="00F43E54"/>
    <w:rsid w:val="00F51C68"/>
    <w:rsid w:val="00F67194"/>
    <w:rsid w:val="00F67387"/>
    <w:rsid w:val="00F7227D"/>
    <w:rsid w:val="00FA7708"/>
    <w:rsid w:val="00FB097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eee" stroke="f">
      <v:fill color="#eee"/>
      <v:stroke on="f"/>
      <v:textbox inset=".5mm,.5mm,.5mm,.5mm"/>
      <o:colormru v:ext="edit" colors="#a00,#d70000,red,#e8e1df"/>
    </o:shapedefaults>
    <o:shapelayout v:ext="edit">
      <o:idmap v:ext="edit" data="2"/>
    </o:shapelayout>
  </w:shapeDefaults>
  <w:doNotEmbedSmartTags/>
  <w:decimalSymbol w:val="."/>
  <w:listSeparator w:val=","/>
  <w14:docId w14:val="2F97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BEC"/>
    <w:pPr>
      <w:adjustRightInd w:val="0"/>
      <w:snapToGrid w:val="0"/>
      <w:spacing w:after="120"/>
    </w:pPr>
    <w:rPr>
      <w:rFonts w:ascii="Fujitsu Infinity Pro" w:eastAsia="MS PGothic" w:hAnsi="Fujitsu Infinity Pro" w:cs="Arial"/>
      <w:bCs/>
      <w:snapToGrid w:val="0"/>
      <w:kern w:val="2"/>
      <w:position w:val="2"/>
      <w:sz w:val="22"/>
      <w:szCs w:val="24"/>
      <w:lang w:val="en-US" w:eastAsia="ja-JP"/>
    </w:rPr>
  </w:style>
  <w:style w:type="paragraph" w:styleId="Heading1">
    <w:name w:val="heading 1"/>
    <w:basedOn w:val="Normal"/>
    <w:next w:val="Normal"/>
    <w:qFormat/>
    <w:rsid w:val="0092671F"/>
    <w:pPr>
      <w:keepNext/>
      <w:numPr>
        <w:numId w:val="3"/>
      </w:numPr>
      <w:spacing w:after="60" w:line="264" w:lineRule="auto"/>
      <w:outlineLvl w:val="0"/>
    </w:pPr>
    <w:rPr>
      <w:rFonts w:ascii="Fujitsu Infinity Pro Bold" w:eastAsia="MS Gothic" w:hAnsi="Fujitsu Infinity Pro Bold" w:cs="Times New Roman"/>
      <w:sz w:val="40"/>
    </w:rPr>
  </w:style>
  <w:style w:type="paragraph" w:styleId="Heading2">
    <w:name w:val="heading 2"/>
    <w:basedOn w:val="Normal"/>
    <w:next w:val="Normal"/>
    <w:qFormat/>
    <w:rsid w:val="0069644D"/>
    <w:pPr>
      <w:keepNext/>
      <w:numPr>
        <w:ilvl w:val="1"/>
        <w:numId w:val="3"/>
      </w:numPr>
      <w:spacing w:after="60" w:line="300" w:lineRule="exact"/>
      <w:outlineLvl w:val="1"/>
    </w:pPr>
    <w:rPr>
      <w:rFonts w:ascii="Fujitsu Infinity Pro Bold" w:hAnsi="Fujitsu Infinity Pro Bold"/>
      <w:bCs w:val="0"/>
      <w:iCs/>
      <w:sz w:val="28"/>
      <w:szCs w:val="28"/>
    </w:rPr>
  </w:style>
  <w:style w:type="paragraph" w:styleId="Heading3">
    <w:name w:val="heading 3"/>
    <w:basedOn w:val="Normal"/>
    <w:next w:val="Normal"/>
    <w:link w:val="Heading3Char"/>
    <w:qFormat/>
    <w:rsid w:val="006832F0"/>
    <w:pPr>
      <w:keepNext/>
      <w:numPr>
        <w:ilvl w:val="2"/>
        <w:numId w:val="3"/>
      </w:numPr>
      <w:spacing w:after="40"/>
      <w:outlineLvl w:val="2"/>
    </w:pPr>
    <w:rPr>
      <w:rFonts w:ascii="Fujitsu Infinity Pro Bold" w:hAnsi="Fujitsu Infinity Pro Bold"/>
      <w:bCs w:val="0"/>
      <w:sz w:val="24"/>
      <w:szCs w:val="26"/>
    </w:rPr>
  </w:style>
  <w:style w:type="paragraph" w:styleId="Heading4">
    <w:name w:val="heading 4"/>
    <w:basedOn w:val="Normal"/>
    <w:next w:val="Normal"/>
    <w:link w:val="Heading4Char"/>
    <w:semiHidden/>
    <w:unhideWhenUsed/>
    <w:qFormat/>
    <w:rsid w:val="00154B72"/>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154B72"/>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154B72"/>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154B72"/>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54B7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54B7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37CB"/>
    <w:pPr>
      <w:tabs>
        <w:tab w:val="center" w:pos="4513"/>
        <w:tab w:val="right" w:pos="9026"/>
      </w:tabs>
    </w:pPr>
  </w:style>
  <w:style w:type="paragraph" w:customStyle="1" w:styleId="FSHeadline">
    <w:name w:val="FS Headline"/>
    <w:basedOn w:val="Normal"/>
    <w:link w:val="FSHeadlineChar"/>
    <w:qFormat/>
    <w:rsid w:val="00626B61"/>
    <w:pPr>
      <w:framePr w:hSpace="180" w:wrap="around" w:vAnchor="page" w:hAnchor="margin" w:y="1577"/>
      <w:spacing w:after="0"/>
    </w:pPr>
    <w:rPr>
      <w:rFonts w:ascii="Fujitsu Infinity Pro Bold" w:hAnsi="Fujitsu Infinity Pro Bold" w:cs="Fujitsu Sans"/>
      <w:color w:val="FFFFFF" w:themeColor="background1"/>
      <w:sz w:val="54"/>
      <w:szCs w:val="50"/>
    </w:rPr>
  </w:style>
  <w:style w:type="paragraph" w:customStyle="1" w:styleId="FJQuotation">
    <w:name w:val="FJ Quotation"/>
    <w:basedOn w:val="Normal"/>
    <w:link w:val="FJQuotationChar"/>
    <w:qFormat/>
    <w:rsid w:val="00EC6583"/>
    <w:pPr>
      <w:ind w:left="238" w:right="256" w:hanging="98"/>
    </w:pPr>
    <w:rPr>
      <w:rFonts w:ascii="Fujitsu Infinity Pro Bold It" w:hAnsi="Fujitsu Infinity Pro Bold It"/>
    </w:rPr>
  </w:style>
  <w:style w:type="character" w:customStyle="1" w:styleId="FSPublicationRegularChar">
    <w:name w:val="FS Publication Regular Char"/>
    <w:link w:val="FSPublicationRegular"/>
    <w:rsid w:val="0041487A"/>
    <w:rPr>
      <w:rFonts w:ascii="Fujitsu Infinity Pro" w:eastAsia="MS PGothic" w:hAnsi="Fujitsu Infinity Pro" w:cs="Arial"/>
      <w:bCs/>
      <w:snapToGrid w:val="0"/>
      <w:kern w:val="2"/>
      <w:position w:val="2"/>
      <w:sz w:val="16"/>
      <w:lang w:val="en-US" w:eastAsia="ja-JP"/>
    </w:rPr>
  </w:style>
  <w:style w:type="paragraph" w:customStyle="1" w:styleId="FSPublicationRegular">
    <w:name w:val="FS Publication Regular"/>
    <w:basedOn w:val="Normal"/>
    <w:link w:val="FSPublicationRegularChar"/>
    <w:qFormat/>
    <w:rsid w:val="0041487A"/>
    <w:pPr>
      <w:adjustRightInd/>
      <w:snapToGrid/>
    </w:pPr>
    <w:rPr>
      <w:sz w:val="16"/>
    </w:rPr>
  </w:style>
  <w:style w:type="paragraph" w:customStyle="1" w:styleId="FSTableBody">
    <w:name w:val="FS Table Body"/>
    <w:basedOn w:val="Normal"/>
    <w:qFormat/>
    <w:rsid w:val="0069644D"/>
    <w:pPr>
      <w:tabs>
        <w:tab w:val="left" w:pos="3107"/>
      </w:tabs>
      <w:spacing w:after="0"/>
    </w:pPr>
    <w:rPr>
      <w:rFonts w:cs="Fujitsu Sans Light"/>
      <w:sz w:val="20"/>
      <w:szCs w:val="22"/>
    </w:rPr>
  </w:style>
  <w:style w:type="paragraph" w:customStyle="1" w:styleId="FSTableHeadline">
    <w:name w:val="FS Table Headline"/>
    <w:basedOn w:val="Normal"/>
    <w:qFormat/>
    <w:rsid w:val="0069644D"/>
    <w:pPr>
      <w:spacing w:after="0"/>
    </w:pPr>
    <w:rPr>
      <w:rFonts w:ascii="Fujitsu Infinity Pro Bold" w:hAnsi="Fujitsu Infinity Pro Bold" w:cs="Fujitsu Sans Medium"/>
      <w:bCs w:val="0"/>
      <w:color w:val="FFFFFF" w:themeColor="background1"/>
      <w:sz w:val="20"/>
      <w:szCs w:val="18"/>
    </w:rPr>
  </w:style>
  <w:style w:type="character" w:customStyle="1" w:styleId="HeaderChar">
    <w:name w:val="Header Char"/>
    <w:basedOn w:val="DefaultParagraphFont"/>
    <w:link w:val="Header"/>
    <w:rsid w:val="006637CB"/>
    <w:rPr>
      <w:rFonts w:ascii="Fujitsu Infinity Pro" w:eastAsia="MS PGothic" w:hAnsi="Fujitsu Infinity Pro" w:cs="Arial"/>
      <w:snapToGrid w:val="0"/>
      <w:kern w:val="2"/>
      <w:position w:val="2"/>
      <w:sz w:val="18"/>
      <w:lang w:val="en-US" w:eastAsia="ja-JP"/>
    </w:rPr>
  </w:style>
  <w:style w:type="paragraph" w:customStyle="1" w:styleId="FSPaginationRegular">
    <w:name w:val="FS Pagination Regular"/>
    <w:basedOn w:val="Normal"/>
    <w:link w:val="FSPaginationRegularChar"/>
    <w:qFormat/>
    <w:rsid w:val="003142F9"/>
    <w:pPr>
      <w:spacing w:line="200" w:lineRule="exact"/>
    </w:pPr>
    <w:rPr>
      <w:rFonts w:cs="Fujitsu Sans Light"/>
      <w:sz w:val="16"/>
      <w:szCs w:val="16"/>
    </w:rPr>
  </w:style>
  <w:style w:type="paragraph" w:customStyle="1" w:styleId="FSWebsiteBold">
    <w:name w:val="FS Website Bold"/>
    <w:basedOn w:val="Normal"/>
    <w:qFormat/>
    <w:rsid w:val="00C616B0"/>
    <w:pPr>
      <w:spacing w:line="200" w:lineRule="exact"/>
      <w:jc w:val="right"/>
    </w:pPr>
    <w:rPr>
      <w:rFonts w:ascii="Fujitsu Infinity Pro Bold" w:hAnsi="Fujitsu Infinity Pro Bold" w:cs="Fujitsu Sans Medium"/>
      <w:bCs w:val="0"/>
      <w:sz w:val="16"/>
      <w:szCs w:val="16"/>
    </w:rPr>
  </w:style>
  <w:style w:type="paragraph" w:styleId="Footer">
    <w:name w:val="footer"/>
    <w:basedOn w:val="Normal"/>
    <w:link w:val="FooterChar"/>
    <w:unhideWhenUsed/>
    <w:rsid w:val="006637CB"/>
    <w:pPr>
      <w:tabs>
        <w:tab w:val="center" w:pos="4513"/>
        <w:tab w:val="right" w:pos="9026"/>
      </w:tabs>
    </w:pPr>
  </w:style>
  <w:style w:type="paragraph" w:customStyle="1" w:styleId="FSContactredmedium">
    <w:name w:val="FS Contact red medium"/>
    <w:basedOn w:val="Normal"/>
    <w:next w:val="Normal"/>
    <w:qFormat/>
    <w:rsid w:val="005C2BC1"/>
    <w:pPr>
      <w:spacing w:line="180" w:lineRule="exact"/>
    </w:pPr>
    <w:rPr>
      <w:rFonts w:ascii="Fujitsu Infinity Pro Light" w:hAnsi="Fujitsu Infinity Pro Light" w:cs="Fujitsu Sans Medium"/>
      <w:sz w:val="15"/>
      <w:szCs w:val="16"/>
    </w:rPr>
  </w:style>
  <w:style w:type="paragraph" w:customStyle="1" w:styleId="FSSubheadlineBold">
    <w:name w:val="FS Subheadline Bold"/>
    <w:basedOn w:val="Normal"/>
    <w:link w:val="FSSubheadlineBoldChar"/>
    <w:qFormat/>
    <w:rsid w:val="00604859"/>
    <w:pPr>
      <w:tabs>
        <w:tab w:val="left" w:pos="3107"/>
      </w:tabs>
      <w:spacing w:line="264" w:lineRule="auto"/>
    </w:pPr>
    <w:rPr>
      <w:rFonts w:cs="Fujitsu Sans Medium"/>
      <w:bCs w:val="0"/>
      <w:sz w:val="28"/>
      <w:szCs w:val="16"/>
    </w:rPr>
  </w:style>
  <w:style w:type="paragraph" w:customStyle="1" w:styleId="FSHeadline3blackBold">
    <w:name w:val="FS Headline 3 black Bold"/>
    <w:basedOn w:val="Normal"/>
    <w:qFormat/>
    <w:rsid w:val="00C616B0"/>
    <w:rPr>
      <w:rFonts w:ascii="Fujitsu Infinity Pro Bold" w:hAnsi="Fujitsu Infinity Pro Bold" w:cs="Fujitsu Sans Medium"/>
      <w:bCs w:val="0"/>
      <w:szCs w:val="16"/>
    </w:rPr>
  </w:style>
  <w:style w:type="character" w:customStyle="1" w:styleId="FooterChar">
    <w:name w:val="Footer Char"/>
    <w:basedOn w:val="DefaultParagraphFont"/>
    <w:link w:val="Footer"/>
    <w:rsid w:val="006637CB"/>
    <w:rPr>
      <w:rFonts w:ascii="Fujitsu Infinity Pro" w:eastAsia="MS PGothic" w:hAnsi="Fujitsu Infinity Pro" w:cs="Arial"/>
      <w:snapToGrid w:val="0"/>
      <w:kern w:val="2"/>
      <w:position w:val="2"/>
      <w:sz w:val="18"/>
      <w:lang w:val="en-US" w:eastAsia="ja-JP"/>
    </w:rPr>
  </w:style>
  <w:style w:type="character" w:styleId="Hyperlink">
    <w:name w:val="Hyperlink"/>
    <w:uiPriority w:val="99"/>
    <w:qFormat/>
    <w:rsid w:val="001272B5"/>
    <w:rPr>
      <w:color w:val="0000FF"/>
      <w:u w:val="single"/>
    </w:rPr>
  </w:style>
  <w:style w:type="paragraph" w:customStyle="1" w:styleId="FJFooter">
    <w:name w:val="FJ Footer"/>
    <w:link w:val="FJFooterChar"/>
    <w:qFormat/>
    <w:rsid w:val="0063049F"/>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6"/>
      <w:szCs w:val="16"/>
      <w:lang w:val="en-US" w:eastAsia="ja-JP"/>
    </w:rPr>
  </w:style>
  <w:style w:type="character" w:customStyle="1" w:styleId="FJFooterChar">
    <w:name w:val="FJ Footer Char"/>
    <w:basedOn w:val="DefaultParagraphFont"/>
    <w:link w:val="FJFooter"/>
    <w:rsid w:val="0063049F"/>
    <w:rPr>
      <w:rFonts w:ascii="Fujitsu Infinity Pro" w:eastAsia="MS PGothic" w:hAnsi="Fujitsu Infinity Pro" w:cs="Fujitsu Sans Light"/>
      <w:snapToGrid w:val="0"/>
      <w:color w:val="000000" w:themeColor="text1"/>
      <w:kern w:val="2"/>
      <w:position w:val="2"/>
      <w:sz w:val="16"/>
      <w:szCs w:val="16"/>
      <w:lang w:val="en-US" w:eastAsia="ja-JP"/>
    </w:rPr>
  </w:style>
  <w:style w:type="paragraph" w:styleId="ListParagraph">
    <w:name w:val="List Paragraph"/>
    <w:basedOn w:val="Normal"/>
    <w:link w:val="ListParagraphChar"/>
    <w:uiPriority w:val="34"/>
    <w:qFormat/>
    <w:rsid w:val="0063049F"/>
    <w:pPr>
      <w:ind w:left="720"/>
      <w:contextualSpacing/>
    </w:pPr>
  </w:style>
  <w:style w:type="paragraph" w:customStyle="1" w:styleId="BulletsLevel1">
    <w:name w:val="Bullets Level 1"/>
    <w:basedOn w:val="ListParagraph"/>
    <w:link w:val="BulletsLevel1Char"/>
    <w:qFormat/>
    <w:rsid w:val="0063049F"/>
    <w:pPr>
      <w:numPr>
        <w:numId w:val="2"/>
      </w:numPr>
      <w:spacing w:after="60"/>
      <w:ind w:left="350" w:hanging="214"/>
      <w:contextualSpacing w:val="0"/>
    </w:pPr>
  </w:style>
  <w:style w:type="character" w:customStyle="1" w:styleId="FSPaginationRegularChar">
    <w:name w:val="FS Pagination Regular Char"/>
    <w:basedOn w:val="DefaultParagraphFont"/>
    <w:link w:val="FSPaginationRegular"/>
    <w:rsid w:val="003142F9"/>
    <w:rPr>
      <w:rFonts w:ascii="Fujitsu Infinity Pro" w:eastAsia="MS PGothic" w:hAnsi="Fujitsu Infinity Pro" w:cs="Fujitsu Sans Light"/>
      <w:snapToGrid w:val="0"/>
      <w:kern w:val="2"/>
      <w:position w:val="2"/>
      <w:sz w:val="16"/>
      <w:szCs w:val="16"/>
      <w:lang w:val="en-US" w:eastAsia="ja-JP"/>
    </w:rPr>
  </w:style>
  <w:style w:type="paragraph" w:customStyle="1" w:styleId="FSPicturecentered">
    <w:name w:val="FS Picture centered"/>
    <w:basedOn w:val="Normal"/>
    <w:rsid w:val="001272B5"/>
    <w:pPr>
      <w:spacing w:line="240" w:lineRule="atLeast"/>
      <w:jc w:val="center"/>
    </w:pPr>
    <w:rPr>
      <w:rFonts w:ascii="Fujitsu Sans Light" w:hAnsi="Fujitsu Sans Light" w:cs="Fujitsu Sans Light"/>
      <w:kern w:val="0"/>
      <w:sz w:val="16"/>
    </w:rPr>
  </w:style>
  <w:style w:type="character" w:customStyle="1" w:styleId="FSSubheadlineBoldChar">
    <w:name w:val="FS Subheadline Bold Char"/>
    <w:basedOn w:val="DefaultParagraphFont"/>
    <w:link w:val="FSSubheadlineBold"/>
    <w:rsid w:val="00604859"/>
    <w:rPr>
      <w:rFonts w:ascii="Fujitsu Infinity Pro" w:eastAsia="MS PGothic" w:hAnsi="Fujitsu Infinity Pro" w:cs="Fujitsu Sans Medium"/>
      <w:bCs/>
      <w:snapToGrid w:val="0"/>
      <w:kern w:val="2"/>
      <w:position w:val="2"/>
      <w:sz w:val="28"/>
      <w:szCs w:val="16"/>
      <w:lang w:val="en-US" w:eastAsia="ja-JP"/>
    </w:rPr>
  </w:style>
  <w:style w:type="character" w:customStyle="1" w:styleId="FujitsuInfinityProBold">
    <w:name w:val="Fujitsu Infinity Pro Bold"/>
    <w:uiPriority w:val="1"/>
    <w:qFormat/>
    <w:rsid w:val="006637CB"/>
    <w:rPr>
      <w:rFonts w:ascii="Fujitsu Infinity Pro Bold" w:hAnsi="Fujitsu Infinity Pro Bold"/>
    </w:rPr>
  </w:style>
  <w:style w:type="paragraph" w:customStyle="1" w:styleId="FJBreakoutBody">
    <w:name w:val="FJ Breakout Body"/>
    <w:basedOn w:val="Normal"/>
    <w:link w:val="FJBreakoutBodyChar"/>
    <w:qFormat/>
    <w:rsid w:val="0014564E"/>
    <w:pPr>
      <w:adjustRightInd/>
      <w:snapToGrid/>
    </w:pPr>
    <w:rPr>
      <w:rFonts w:cs="Fujitsu Sans Light"/>
      <w:sz w:val="20"/>
      <w:lang w:val="en-GB"/>
    </w:rPr>
  </w:style>
  <w:style w:type="character" w:customStyle="1" w:styleId="FJBreakoutBodyChar">
    <w:name w:val="FJ Breakout Body Char"/>
    <w:basedOn w:val="DefaultParagraphFont"/>
    <w:link w:val="FJBreakoutBody"/>
    <w:rsid w:val="0014564E"/>
    <w:rPr>
      <w:rFonts w:ascii="Fujitsu Infinity Pro" w:eastAsia="MS PGothic" w:hAnsi="Fujitsu Infinity Pro" w:cs="Fujitsu Sans Light"/>
      <w:snapToGrid w:val="0"/>
      <w:kern w:val="2"/>
      <w:position w:val="2"/>
      <w:szCs w:val="24"/>
      <w:lang w:eastAsia="ja-JP"/>
    </w:rPr>
  </w:style>
  <w:style w:type="paragraph" w:customStyle="1" w:styleId="FJBreakoutSubheadline1">
    <w:name w:val="FJ Breakout Subheadline 1"/>
    <w:link w:val="FJBreakoutSubheadline1Char"/>
    <w:qFormat/>
    <w:rsid w:val="0014564E"/>
    <w:rPr>
      <w:rFonts w:ascii="Fujitsu Infinity Pro Bold" w:eastAsia="MS PGothic" w:hAnsi="Fujitsu Infinity Pro Bold" w:cs="Fujitsu Sans Medium"/>
      <w:bCs/>
      <w:noProof/>
      <w:kern w:val="2"/>
      <w:position w:val="2"/>
      <w:szCs w:val="23"/>
      <w:lang w:eastAsia="ja-JP"/>
    </w:rPr>
  </w:style>
  <w:style w:type="paragraph" w:customStyle="1" w:styleId="FJBreakoutHeadline">
    <w:name w:val="FJ Breakout Headline"/>
    <w:link w:val="FJBreakoutHeadlineChar"/>
    <w:qFormat/>
    <w:rsid w:val="00387E6C"/>
    <w:pPr>
      <w:keepNext/>
      <w:keepLines/>
    </w:pPr>
    <w:rPr>
      <w:rFonts w:ascii="Fujitsu Infinity Pro Bold" w:eastAsia="MS PGothic" w:hAnsi="Fujitsu Infinity Pro Bold" w:cs="Fujitsu Sans Medium"/>
      <w:snapToGrid w:val="0"/>
      <w:color w:val="FFFFFF" w:themeColor="background1"/>
      <w:kern w:val="2"/>
      <w:position w:val="2"/>
      <w:sz w:val="22"/>
      <w:szCs w:val="26"/>
      <w:lang w:val="en-US" w:eastAsia="ja-JP"/>
    </w:rPr>
  </w:style>
  <w:style w:type="character" w:customStyle="1" w:styleId="FJBreakoutSubheadline1Char">
    <w:name w:val="FJ Breakout Subheadline 1 Char"/>
    <w:basedOn w:val="DefaultParagraphFont"/>
    <w:link w:val="FJBreakoutSubheadline1"/>
    <w:rsid w:val="0014564E"/>
    <w:rPr>
      <w:rFonts w:ascii="Fujitsu Infinity Pro Bold" w:eastAsia="MS PGothic" w:hAnsi="Fujitsu Infinity Pro Bold" w:cs="Fujitsu Sans Medium"/>
      <w:bCs/>
      <w:noProof/>
      <w:kern w:val="2"/>
      <w:position w:val="2"/>
      <w:szCs w:val="23"/>
      <w:lang w:eastAsia="ja-JP"/>
    </w:rPr>
  </w:style>
  <w:style w:type="character" w:customStyle="1" w:styleId="FJBreakoutHeadlineChar">
    <w:name w:val="FJ Breakout Headline Char"/>
    <w:basedOn w:val="DefaultParagraphFont"/>
    <w:link w:val="FJBreakoutHeadline"/>
    <w:rsid w:val="00387E6C"/>
    <w:rPr>
      <w:rFonts w:ascii="Fujitsu Infinity Pro Bold" w:eastAsia="MS PGothic" w:hAnsi="Fujitsu Infinity Pro Bold" w:cs="Fujitsu Sans Medium"/>
      <w:snapToGrid w:val="0"/>
      <w:color w:val="FFFFFF" w:themeColor="background1"/>
      <w:kern w:val="2"/>
      <w:position w:val="2"/>
      <w:sz w:val="22"/>
      <w:szCs w:val="26"/>
      <w:lang w:val="en-US" w:eastAsia="ja-JP"/>
    </w:rPr>
  </w:style>
  <w:style w:type="paragraph" w:customStyle="1" w:styleId="FSTablebullets">
    <w:name w:val="FS Table bullets"/>
    <w:basedOn w:val="Normal"/>
    <w:qFormat/>
    <w:rsid w:val="0069644D"/>
    <w:pPr>
      <w:numPr>
        <w:numId w:val="1"/>
      </w:numPr>
      <w:spacing w:after="60"/>
      <w:ind w:left="210" w:hanging="176"/>
    </w:pPr>
    <w:rPr>
      <w:rFonts w:cs="Fujitsu Sans Light"/>
    </w:rPr>
  </w:style>
  <w:style w:type="table" w:styleId="TableGrid">
    <w:name w:val="Table Grid"/>
    <w:basedOn w:val="TableNormal"/>
    <w:rsid w:val="00510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SmallPrint">
    <w:name w:val="FJ Small Print"/>
    <w:link w:val="FJSmallPrintChar"/>
    <w:qFormat/>
    <w:rsid w:val="005109E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5109E9"/>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DefaultParagraphFont"/>
    <w:link w:val="FJSmallPrint"/>
    <w:rsid w:val="005109E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5109E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DefaultParagraphFont"/>
    <w:link w:val="FJContactHeader"/>
    <w:rsid w:val="005109E9"/>
    <w:rPr>
      <w:rFonts w:ascii="Fujitsu Infinity Pro Bold" w:eastAsia="MS PGothic" w:hAnsi="Fujitsu Infinity Pro Bold" w:cs="Fujitsu Sans Light"/>
      <w:bCs/>
      <w:snapToGrid w:val="0"/>
      <w:kern w:val="2"/>
      <w:position w:val="2"/>
      <w:sz w:val="18"/>
      <w:lang w:val="en-US" w:eastAsia="ja-JP"/>
    </w:rPr>
  </w:style>
  <w:style w:type="character" w:customStyle="1" w:styleId="FJContactDetailsChar">
    <w:name w:val="FJ Contact Details Char"/>
    <w:basedOn w:val="DefaultParagraphFont"/>
    <w:link w:val="FJContactDetails"/>
    <w:rsid w:val="005109E9"/>
    <w:rPr>
      <w:rFonts w:ascii="Fujitsu Infinity Pro" w:eastAsia="MS PGothic" w:hAnsi="Fujitsu Infinity Pro" w:cs="Fujitsu Sans Light"/>
      <w:snapToGrid w:val="0"/>
      <w:kern w:val="2"/>
      <w:position w:val="2"/>
      <w:sz w:val="16"/>
      <w:szCs w:val="18"/>
      <w:lang w:val="en-US" w:eastAsia="ja-JP"/>
    </w:rPr>
  </w:style>
  <w:style w:type="paragraph" w:customStyle="1" w:styleId="FSIntroduction">
    <w:name w:val="FS Introduction"/>
    <w:basedOn w:val="FSSubheadlineBold"/>
    <w:link w:val="FSIntroductionChar"/>
    <w:qFormat/>
    <w:rsid w:val="003F5BEC"/>
    <w:pPr>
      <w:framePr w:hSpace="181" w:vSpace="567" w:wrap="around" w:vAnchor="page" w:hAnchor="margin" w:y="3993"/>
      <w:spacing w:line="240" w:lineRule="auto"/>
    </w:pPr>
    <w:rPr>
      <w:rFonts w:ascii="Fujitsu Infinity Pro Bold" w:hAnsi="Fujitsu Infinity Pro Bold"/>
      <w:color w:val="000000" w:themeColor="text1"/>
      <w:sz w:val="26"/>
      <w:szCs w:val="26"/>
    </w:rPr>
  </w:style>
  <w:style w:type="character" w:customStyle="1" w:styleId="Bold">
    <w:name w:val="Bold"/>
    <w:basedOn w:val="DefaultParagraphFont"/>
    <w:uiPriority w:val="1"/>
    <w:qFormat/>
    <w:rsid w:val="0069644D"/>
    <w:rPr>
      <w:rFonts w:ascii="Fujitsu Infinity Pro Bold" w:hAnsi="Fujitsu Infinity Pro Bold"/>
    </w:rPr>
  </w:style>
  <w:style w:type="character" w:customStyle="1" w:styleId="FSIntroductionChar">
    <w:name w:val="FS Introduction Char"/>
    <w:basedOn w:val="FSSubheadlineBoldChar"/>
    <w:link w:val="FSIntroduction"/>
    <w:rsid w:val="003F5BEC"/>
    <w:rPr>
      <w:rFonts w:ascii="Fujitsu Infinity Pro Bold" w:eastAsia="MS PGothic" w:hAnsi="Fujitsu Infinity Pro Bold" w:cs="Fujitsu Sans Medium"/>
      <w:bCs w:val="0"/>
      <w:snapToGrid w:val="0"/>
      <w:color w:val="000000" w:themeColor="text1"/>
      <w:kern w:val="2"/>
      <w:position w:val="2"/>
      <w:sz w:val="26"/>
      <w:szCs w:val="26"/>
      <w:lang w:val="en-US" w:eastAsia="ja-JP"/>
    </w:rPr>
  </w:style>
  <w:style w:type="paragraph" w:customStyle="1" w:styleId="FSSubheadline">
    <w:name w:val="FS Subheadline"/>
    <w:link w:val="FSSubheadlineChar"/>
    <w:qFormat/>
    <w:rsid w:val="00626B61"/>
    <w:pPr>
      <w:framePr w:wrap="auto" w:hAnchor="text" w:y="1577"/>
      <w:spacing w:before="120"/>
    </w:pPr>
    <w:rPr>
      <w:rFonts w:ascii="Fujitsu Infinity Pro" w:eastAsia="MS PGothic" w:hAnsi="Fujitsu Infinity Pro" w:cs="Fujitsu Sans"/>
      <w:bCs/>
      <w:snapToGrid w:val="0"/>
      <w:color w:val="FFFFFF" w:themeColor="background1"/>
      <w:kern w:val="2"/>
      <w:position w:val="2"/>
      <w:sz w:val="40"/>
      <w:szCs w:val="36"/>
      <w:lang w:val="en-US" w:eastAsia="ja-JP"/>
    </w:rPr>
  </w:style>
  <w:style w:type="character" w:customStyle="1" w:styleId="White">
    <w:name w:val="White"/>
    <w:uiPriority w:val="1"/>
    <w:qFormat/>
    <w:rsid w:val="00EC6583"/>
    <w:rPr>
      <w:color w:val="FFFFFF" w:themeColor="background1"/>
    </w:rPr>
  </w:style>
  <w:style w:type="character" w:customStyle="1" w:styleId="FSHeadlineChar">
    <w:name w:val="FS Headline Char"/>
    <w:basedOn w:val="DefaultParagraphFont"/>
    <w:link w:val="FSHeadline"/>
    <w:rsid w:val="00626B61"/>
    <w:rPr>
      <w:rFonts w:ascii="Fujitsu Infinity Pro Bold" w:eastAsia="MS PGothic" w:hAnsi="Fujitsu Infinity Pro Bold" w:cs="Fujitsu Sans"/>
      <w:bCs/>
      <w:snapToGrid w:val="0"/>
      <w:color w:val="FFFFFF" w:themeColor="background1"/>
      <w:kern w:val="2"/>
      <w:position w:val="2"/>
      <w:sz w:val="54"/>
      <w:szCs w:val="50"/>
      <w:lang w:val="en-US" w:eastAsia="ja-JP"/>
    </w:rPr>
  </w:style>
  <w:style w:type="character" w:customStyle="1" w:styleId="FSSubheadlineChar">
    <w:name w:val="FS Subheadline Char"/>
    <w:basedOn w:val="FSHeadlineChar"/>
    <w:link w:val="FSSubheadline"/>
    <w:rsid w:val="00626B61"/>
    <w:rPr>
      <w:rFonts w:ascii="Fujitsu Infinity Pro" w:eastAsia="MS PGothic" w:hAnsi="Fujitsu Infinity Pro" w:cs="Fujitsu Sans"/>
      <w:bCs/>
      <w:snapToGrid w:val="0"/>
      <w:color w:val="FFFFFF" w:themeColor="background1"/>
      <w:kern w:val="2"/>
      <w:position w:val="2"/>
      <w:sz w:val="40"/>
      <w:szCs w:val="36"/>
      <w:lang w:val="en-US" w:eastAsia="ja-JP"/>
    </w:rPr>
  </w:style>
  <w:style w:type="character" w:customStyle="1" w:styleId="ListParagraphChar">
    <w:name w:val="List Paragraph Char"/>
    <w:basedOn w:val="DefaultParagraphFont"/>
    <w:link w:val="ListParagraph"/>
    <w:uiPriority w:val="34"/>
    <w:rsid w:val="0063049F"/>
    <w:rPr>
      <w:rFonts w:ascii="Fujitsu Infinity Pro" w:eastAsia="MS PGothic" w:hAnsi="Fujitsu Infinity Pro" w:cs="Arial"/>
      <w:bCs/>
      <w:snapToGrid w:val="0"/>
      <w:kern w:val="2"/>
      <w:position w:val="2"/>
      <w:sz w:val="22"/>
      <w:szCs w:val="24"/>
      <w:lang w:val="en-US" w:eastAsia="ja-JP"/>
    </w:rPr>
  </w:style>
  <w:style w:type="character" w:customStyle="1" w:styleId="BulletsLevel1Char">
    <w:name w:val="Bullets Level 1 Char"/>
    <w:basedOn w:val="ListParagraphChar"/>
    <w:link w:val="BulletsLevel1"/>
    <w:rsid w:val="0063049F"/>
    <w:rPr>
      <w:rFonts w:ascii="Fujitsu Infinity Pro" w:eastAsia="MS PGothic" w:hAnsi="Fujitsu Infinity Pro" w:cs="Arial"/>
      <w:bCs/>
      <w:snapToGrid w:val="0"/>
      <w:kern w:val="2"/>
      <w:position w:val="2"/>
      <w:sz w:val="22"/>
      <w:szCs w:val="24"/>
      <w:lang w:val="en-US" w:eastAsia="ja-JP"/>
    </w:rPr>
  </w:style>
  <w:style w:type="character" w:customStyle="1" w:styleId="FJQuotationChar">
    <w:name w:val="FJ Quotation Char"/>
    <w:basedOn w:val="DefaultParagraphFont"/>
    <w:link w:val="FJQuotation"/>
    <w:rsid w:val="00EC6583"/>
    <w:rPr>
      <w:rFonts w:ascii="Fujitsu Infinity Pro Bold It" w:eastAsia="MS PGothic" w:hAnsi="Fujitsu Infinity Pro Bold It" w:cs="Arial"/>
      <w:bCs/>
      <w:snapToGrid w:val="0"/>
      <w:kern w:val="2"/>
      <w:position w:val="2"/>
      <w:sz w:val="22"/>
      <w:szCs w:val="24"/>
      <w:lang w:val="en-US" w:eastAsia="ja-JP"/>
    </w:rPr>
  </w:style>
  <w:style w:type="character" w:customStyle="1" w:styleId="BoldWhite">
    <w:name w:val="Bold White"/>
    <w:uiPriority w:val="1"/>
    <w:qFormat/>
    <w:rsid w:val="00EC6583"/>
    <w:rPr>
      <w:rFonts w:ascii="Fujitsu Infinity Pro Bold" w:hAnsi="Fujitsu Infinity Pro Bold"/>
      <w:color w:val="FFFFFF" w:themeColor="background1"/>
    </w:rPr>
  </w:style>
  <w:style w:type="paragraph" w:customStyle="1" w:styleId="CTA">
    <w:name w:val="CTA"/>
    <w:basedOn w:val="Heading3"/>
    <w:link w:val="CTAChar"/>
    <w:qFormat/>
    <w:rsid w:val="00C1298D"/>
    <w:pPr>
      <w:jc w:val="center"/>
    </w:pPr>
    <w:rPr>
      <w:szCs w:val="28"/>
    </w:rPr>
  </w:style>
  <w:style w:type="paragraph" w:customStyle="1" w:styleId="AboutFujitsu">
    <w:name w:val="About Fujitsu"/>
    <w:basedOn w:val="Normal"/>
    <w:link w:val="AboutFujitsuChar"/>
    <w:qFormat/>
    <w:rsid w:val="00C1298D"/>
    <w:rPr>
      <w:color w:val="FFFFFF" w:themeColor="background1"/>
    </w:rPr>
  </w:style>
  <w:style w:type="character" w:customStyle="1" w:styleId="Heading3Char">
    <w:name w:val="Heading 3 Char"/>
    <w:basedOn w:val="DefaultParagraphFont"/>
    <w:link w:val="Heading3"/>
    <w:rsid w:val="00C1298D"/>
    <w:rPr>
      <w:rFonts w:ascii="Fujitsu Infinity Pro Bold" w:eastAsia="MS PGothic" w:hAnsi="Fujitsu Infinity Pro Bold" w:cs="Arial"/>
      <w:snapToGrid w:val="0"/>
      <w:kern w:val="2"/>
      <w:position w:val="2"/>
      <w:sz w:val="24"/>
      <w:szCs w:val="26"/>
      <w:lang w:val="en-US" w:eastAsia="ja-JP"/>
    </w:rPr>
  </w:style>
  <w:style w:type="character" w:customStyle="1" w:styleId="CTAChar">
    <w:name w:val="CTA Char"/>
    <w:basedOn w:val="Heading3Char"/>
    <w:link w:val="CTA"/>
    <w:rsid w:val="00C1298D"/>
    <w:rPr>
      <w:rFonts w:ascii="Fujitsu Infinity Pro Bold" w:eastAsia="MS PGothic" w:hAnsi="Fujitsu Infinity Pro Bold" w:cs="Arial"/>
      <w:snapToGrid w:val="0"/>
      <w:kern w:val="2"/>
      <w:position w:val="2"/>
      <w:sz w:val="24"/>
      <w:szCs w:val="28"/>
      <w:lang w:val="en-US" w:eastAsia="ja-JP"/>
    </w:rPr>
  </w:style>
  <w:style w:type="character" w:customStyle="1" w:styleId="AboutFujitsuChar">
    <w:name w:val="About Fujitsu Char"/>
    <w:basedOn w:val="DefaultParagraphFont"/>
    <w:link w:val="AboutFujitsu"/>
    <w:rsid w:val="00C1298D"/>
    <w:rPr>
      <w:rFonts w:ascii="Fujitsu Infinity Pro" w:eastAsia="MS PGothic" w:hAnsi="Fujitsu Infinity Pro" w:cs="Arial"/>
      <w:bCs/>
      <w:snapToGrid w:val="0"/>
      <w:color w:val="FFFFFF" w:themeColor="background1"/>
      <w:kern w:val="2"/>
      <w:position w:val="2"/>
      <w:sz w:val="22"/>
      <w:szCs w:val="24"/>
      <w:lang w:val="en-US" w:eastAsia="ja-JP"/>
    </w:rPr>
  </w:style>
  <w:style w:type="paragraph" w:styleId="TOCHeading">
    <w:name w:val="TOC Heading"/>
    <w:basedOn w:val="Heading1"/>
    <w:next w:val="Normal"/>
    <w:uiPriority w:val="39"/>
    <w:unhideWhenUsed/>
    <w:qFormat/>
    <w:rsid w:val="00154B72"/>
    <w:pPr>
      <w:keepLines/>
      <w:adjustRightInd/>
      <w:snapToGrid/>
      <w:spacing w:before="240" w:after="0" w:line="259" w:lineRule="auto"/>
      <w:outlineLvl w:val="9"/>
    </w:pPr>
    <w:rPr>
      <w:rFonts w:asciiTheme="majorHAnsi" w:eastAsiaTheme="majorEastAsia" w:hAnsiTheme="majorHAnsi" w:cstheme="majorBidi"/>
      <w:bCs w:val="0"/>
      <w:snapToGrid/>
      <w:color w:val="365F91" w:themeColor="accent1" w:themeShade="BF"/>
      <w:kern w:val="0"/>
      <w:position w:val="0"/>
      <w:sz w:val="32"/>
      <w:szCs w:val="32"/>
      <w:lang w:val="de-DE" w:eastAsia="de-DE"/>
    </w:rPr>
  </w:style>
  <w:style w:type="paragraph" w:styleId="TOC1">
    <w:name w:val="toc 1"/>
    <w:basedOn w:val="Normal"/>
    <w:next w:val="Normal"/>
    <w:autoRedefine/>
    <w:uiPriority w:val="39"/>
    <w:unhideWhenUsed/>
    <w:rsid w:val="00C15CBA"/>
    <w:pPr>
      <w:tabs>
        <w:tab w:val="left" w:pos="567"/>
        <w:tab w:val="right" w:leader="dot" w:pos="10410"/>
      </w:tabs>
      <w:spacing w:after="100"/>
    </w:pPr>
  </w:style>
  <w:style w:type="paragraph" w:styleId="TOC2">
    <w:name w:val="toc 2"/>
    <w:basedOn w:val="Normal"/>
    <w:next w:val="Normal"/>
    <w:autoRedefine/>
    <w:uiPriority w:val="39"/>
    <w:unhideWhenUsed/>
    <w:rsid w:val="00154B72"/>
    <w:pPr>
      <w:spacing w:after="100"/>
      <w:ind w:left="220"/>
    </w:pPr>
  </w:style>
  <w:style w:type="paragraph" w:styleId="TOC3">
    <w:name w:val="toc 3"/>
    <w:basedOn w:val="Normal"/>
    <w:next w:val="Normal"/>
    <w:autoRedefine/>
    <w:uiPriority w:val="39"/>
    <w:unhideWhenUsed/>
    <w:rsid w:val="00154B72"/>
    <w:pPr>
      <w:spacing w:after="100"/>
      <w:ind w:left="440"/>
    </w:pPr>
  </w:style>
  <w:style w:type="character" w:customStyle="1" w:styleId="Heading4Char">
    <w:name w:val="Heading 4 Char"/>
    <w:basedOn w:val="DefaultParagraphFont"/>
    <w:link w:val="Heading4"/>
    <w:semiHidden/>
    <w:rsid w:val="00154B72"/>
    <w:rPr>
      <w:rFonts w:asciiTheme="majorHAnsi" w:eastAsiaTheme="majorEastAsia" w:hAnsiTheme="majorHAnsi" w:cstheme="majorBidi"/>
      <w:bCs/>
      <w:i/>
      <w:iCs/>
      <w:snapToGrid w:val="0"/>
      <w:color w:val="365F91" w:themeColor="accent1" w:themeShade="BF"/>
      <w:kern w:val="2"/>
      <w:position w:val="2"/>
      <w:sz w:val="22"/>
      <w:szCs w:val="24"/>
      <w:lang w:val="en-US" w:eastAsia="ja-JP"/>
    </w:rPr>
  </w:style>
  <w:style w:type="character" w:customStyle="1" w:styleId="Heading5Char">
    <w:name w:val="Heading 5 Char"/>
    <w:basedOn w:val="DefaultParagraphFont"/>
    <w:link w:val="Heading5"/>
    <w:semiHidden/>
    <w:rsid w:val="00154B72"/>
    <w:rPr>
      <w:rFonts w:asciiTheme="majorHAnsi" w:eastAsiaTheme="majorEastAsia" w:hAnsiTheme="majorHAnsi" w:cstheme="majorBidi"/>
      <w:bCs/>
      <w:snapToGrid w:val="0"/>
      <w:color w:val="365F91" w:themeColor="accent1" w:themeShade="BF"/>
      <w:kern w:val="2"/>
      <w:position w:val="2"/>
      <w:sz w:val="22"/>
      <w:szCs w:val="24"/>
      <w:lang w:val="en-US" w:eastAsia="ja-JP"/>
    </w:rPr>
  </w:style>
  <w:style w:type="character" w:customStyle="1" w:styleId="Heading6Char">
    <w:name w:val="Heading 6 Char"/>
    <w:basedOn w:val="DefaultParagraphFont"/>
    <w:link w:val="Heading6"/>
    <w:semiHidden/>
    <w:rsid w:val="00154B72"/>
    <w:rPr>
      <w:rFonts w:asciiTheme="majorHAnsi" w:eastAsiaTheme="majorEastAsia" w:hAnsiTheme="majorHAnsi" w:cstheme="majorBidi"/>
      <w:bCs/>
      <w:snapToGrid w:val="0"/>
      <w:color w:val="243F60" w:themeColor="accent1" w:themeShade="7F"/>
      <w:kern w:val="2"/>
      <w:position w:val="2"/>
      <w:sz w:val="22"/>
      <w:szCs w:val="24"/>
      <w:lang w:val="en-US" w:eastAsia="ja-JP"/>
    </w:rPr>
  </w:style>
  <w:style w:type="character" w:customStyle="1" w:styleId="Heading7Char">
    <w:name w:val="Heading 7 Char"/>
    <w:basedOn w:val="DefaultParagraphFont"/>
    <w:link w:val="Heading7"/>
    <w:semiHidden/>
    <w:rsid w:val="00154B72"/>
    <w:rPr>
      <w:rFonts w:asciiTheme="majorHAnsi" w:eastAsiaTheme="majorEastAsia" w:hAnsiTheme="majorHAnsi" w:cstheme="majorBidi"/>
      <w:bCs/>
      <w:i/>
      <w:iCs/>
      <w:snapToGrid w:val="0"/>
      <w:color w:val="243F60" w:themeColor="accent1" w:themeShade="7F"/>
      <w:kern w:val="2"/>
      <w:position w:val="2"/>
      <w:sz w:val="22"/>
      <w:szCs w:val="24"/>
      <w:lang w:val="en-US" w:eastAsia="ja-JP"/>
    </w:rPr>
  </w:style>
  <w:style w:type="character" w:customStyle="1" w:styleId="Heading8Char">
    <w:name w:val="Heading 8 Char"/>
    <w:basedOn w:val="DefaultParagraphFont"/>
    <w:link w:val="Heading8"/>
    <w:semiHidden/>
    <w:rsid w:val="00154B72"/>
    <w:rPr>
      <w:rFonts w:asciiTheme="majorHAnsi" w:eastAsiaTheme="majorEastAsia" w:hAnsiTheme="majorHAnsi" w:cstheme="majorBidi"/>
      <w:bCs/>
      <w:snapToGrid w:val="0"/>
      <w:color w:val="272727" w:themeColor="text1" w:themeTint="D8"/>
      <w:kern w:val="2"/>
      <w:position w:val="2"/>
      <w:sz w:val="21"/>
      <w:szCs w:val="21"/>
      <w:lang w:val="en-US" w:eastAsia="ja-JP"/>
    </w:rPr>
  </w:style>
  <w:style w:type="character" w:customStyle="1" w:styleId="Heading9Char">
    <w:name w:val="Heading 9 Char"/>
    <w:basedOn w:val="DefaultParagraphFont"/>
    <w:link w:val="Heading9"/>
    <w:semiHidden/>
    <w:rsid w:val="00154B72"/>
    <w:rPr>
      <w:rFonts w:asciiTheme="majorHAnsi" w:eastAsiaTheme="majorEastAsia" w:hAnsiTheme="majorHAnsi" w:cstheme="majorBidi"/>
      <w:bCs/>
      <w:i/>
      <w:iCs/>
      <w:snapToGrid w:val="0"/>
      <w:color w:val="272727" w:themeColor="text1" w:themeTint="D8"/>
      <w:kern w:val="2"/>
      <w:position w:val="2"/>
      <w:sz w:val="21"/>
      <w:szCs w:val="21"/>
      <w:lang w:val="en-US" w:eastAsia="ja-JP"/>
    </w:rPr>
  </w:style>
  <w:style w:type="paragraph" w:styleId="Title">
    <w:name w:val="Title"/>
    <w:basedOn w:val="Normal"/>
    <w:next w:val="Normal"/>
    <w:link w:val="TitleChar"/>
    <w:qFormat/>
    <w:rsid w:val="00154B7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4B72"/>
    <w:rPr>
      <w:rFonts w:asciiTheme="majorHAnsi" w:eastAsiaTheme="majorEastAsia" w:hAnsiTheme="majorHAnsi" w:cstheme="majorBidi"/>
      <w:bCs/>
      <w:snapToGrid w:val="0"/>
      <w:spacing w:val="-10"/>
      <w:kern w:val="28"/>
      <w:position w:val="2"/>
      <w:sz w:val="56"/>
      <w:szCs w:val="56"/>
      <w:lang w:val="en-US" w:eastAsia="ja-JP"/>
    </w:rPr>
  </w:style>
  <w:style w:type="paragraph" w:customStyle="1" w:styleId="FJDocumentHeader">
    <w:name w:val="FJ Document Header"/>
    <w:link w:val="FJDocumentHeaderChar"/>
    <w:qFormat/>
    <w:rsid w:val="00154B72"/>
    <w:pPr>
      <w:framePr w:wrap="around" w:vAnchor="text" w:hAnchor="margin" w:y="-520"/>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DocumentHeaderChar">
    <w:name w:val="FJ Document Header Char"/>
    <w:basedOn w:val="DefaultParagraphFont"/>
    <w:link w:val="FJDocumentHeader"/>
    <w:rsid w:val="00154B72"/>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Subheadline1">
    <w:name w:val="FJ Subheadline 1"/>
    <w:link w:val="FJSubheadline1Char"/>
    <w:qFormat/>
    <w:rsid w:val="00B767A3"/>
    <w:pPr>
      <w:tabs>
        <w:tab w:val="left" w:pos="3107"/>
      </w:tabs>
      <w:spacing w:after="30"/>
      <w:ind w:left="432" w:hanging="432"/>
    </w:pPr>
    <w:rPr>
      <w:rFonts w:ascii="Fujitsu Infinity Pro Bold" w:eastAsia="MS PGothic" w:hAnsi="Fujitsu Infinity Pro Bold" w:cs="Fujitsu Sans Medium"/>
      <w:bCs/>
      <w:noProof/>
      <w:kern w:val="2"/>
      <w:position w:val="2"/>
      <w:sz w:val="23"/>
      <w:szCs w:val="23"/>
      <w:lang w:val="fr-FR" w:eastAsia="ja-JP"/>
    </w:rPr>
  </w:style>
  <w:style w:type="character" w:customStyle="1" w:styleId="FJSubheadline1Char">
    <w:name w:val="FJ Subheadline 1 Char"/>
    <w:link w:val="FJSubheadline1"/>
    <w:rsid w:val="00B767A3"/>
    <w:rPr>
      <w:rFonts w:ascii="Fujitsu Infinity Pro Bold" w:eastAsia="MS PGothic" w:hAnsi="Fujitsu Infinity Pro Bold" w:cs="Fujitsu Sans Medium"/>
      <w:bCs/>
      <w:noProof/>
      <w:kern w:val="2"/>
      <w:position w:val="2"/>
      <w:sz w:val="23"/>
      <w:szCs w:val="23"/>
      <w:lang w:val="fr-FR" w:eastAsia="ja-JP"/>
    </w:rPr>
  </w:style>
  <w:style w:type="paragraph" w:customStyle="1" w:styleId="FJSubheadline2">
    <w:name w:val="FJ Subheadline 2"/>
    <w:basedOn w:val="FJSubheadline1"/>
    <w:qFormat/>
    <w:rsid w:val="00B767A3"/>
    <w:pPr>
      <w:tabs>
        <w:tab w:val="num" w:pos="360"/>
        <w:tab w:val="num" w:pos="840"/>
      </w:tabs>
      <w:spacing w:after="120"/>
      <w:ind w:left="840" w:hanging="420"/>
    </w:pPr>
    <w:rPr>
      <w:lang w:val="pt-BR"/>
    </w:rPr>
  </w:style>
  <w:style w:type="paragraph" w:customStyle="1" w:styleId="FSBodycopyBullet1">
    <w:name w:val="FS Body copy Bullet 1"/>
    <w:basedOn w:val="Normal"/>
    <w:qFormat/>
    <w:rsid w:val="00B767A3"/>
    <w:pPr>
      <w:numPr>
        <w:numId w:val="5"/>
      </w:numPr>
      <w:adjustRightInd/>
      <w:snapToGrid/>
      <w:spacing w:after="0" w:line="264" w:lineRule="auto"/>
      <w:contextualSpacing/>
    </w:pPr>
    <w:rPr>
      <w:rFonts w:ascii="Fujitsu Sans Light" w:eastAsia="Times New Roman" w:hAnsi="Fujitsu Sans Light" w:cs="Times New Roman"/>
      <w:bCs w:val="0"/>
      <w:snapToGrid/>
      <w:color w:val="000000"/>
      <w:kern w:val="0"/>
      <w:position w:val="0"/>
      <w:sz w:val="18"/>
      <w:szCs w:val="20"/>
      <w:lang w:val="de-DE" w:eastAsia="de-DE"/>
    </w:rPr>
  </w:style>
  <w:style w:type="paragraph" w:customStyle="1" w:styleId="FSBodycopyblacklight">
    <w:name w:val="FS Body copy black light"/>
    <w:link w:val="FSBodycopyblacklightZchn"/>
    <w:qFormat/>
    <w:rsid w:val="00B767A3"/>
    <w:pPr>
      <w:spacing w:line="264" w:lineRule="auto"/>
    </w:pPr>
    <w:rPr>
      <w:rFonts w:ascii="Fujitsu Sans Light" w:eastAsia="Calibri" w:hAnsi="Fujitsu Sans Light"/>
      <w:color w:val="000000"/>
      <w:sz w:val="18"/>
      <w:lang w:val="de-DE" w:eastAsia="en-US"/>
    </w:rPr>
  </w:style>
  <w:style w:type="paragraph" w:customStyle="1" w:styleId="FSSubheadlineredindex">
    <w:name w:val="FS Subheadline red index"/>
    <w:basedOn w:val="Heading1"/>
    <w:qFormat/>
    <w:rsid w:val="00B767A3"/>
    <w:pPr>
      <w:numPr>
        <w:numId w:val="0"/>
      </w:numPr>
      <w:tabs>
        <w:tab w:val="center" w:pos="4536"/>
        <w:tab w:val="right" w:pos="9072"/>
      </w:tabs>
      <w:adjustRightInd/>
      <w:snapToGrid/>
      <w:spacing w:after="0"/>
    </w:pPr>
    <w:rPr>
      <w:rFonts w:ascii="Fujitsu Sans Medium" w:eastAsia="Times New Roman" w:hAnsi="Fujitsu Sans Medium"/>
      <w:bCs w:val="0"/>
      <w:snapToGrid/>
      <w:color w:val="FF0000"/>
      <w:kern w:val="32"/>
      <w:position w:val="0"/>
      <w:sz w:val="18"/>
      <w:szCs w:val="32"/>
      <w:lang w:val="de-DE" w:eastAsia="en-US"/>
    </w:rPr>
  </w:style>
  <w:style w:type="paragraph" w:customStyle="1" w:styleId="FSBulletlistblacklight">
    <w:name w:val="FS Bullet list black light"/>
    <w:basedOn w:val="Normal"/>
    <w:autoRedefine/>
    <w:qFormat/>
    <w:rsid w:val="00B767A3"/>
    <w:pPr>
      <w:spacing w:after="0"/>
    </w:pPr>
    <w:rPr>
      <w:rFonts w:ascii="Fujitsu Infinity Pro Italic" w:hAnsi="Fujitsu Infinity Pro Italic" w:cs="Fujitsu Sans Light"/>
      <w:bCs w:val="0"/>
      <w:sz w:val="20"/>
      <w:szCs w:val="20"/>
    </w:rPr>
  </w:style>
  <w:style w:type="character" w:customStyle="1" w:styleId="FSBodycopyblacklightZchn">
    <w:name w:val="FS Body copy black light Zchn"/>
    <w:basedOn w:val="DefaultParagraphFont"/>
    <w:link w:val="FSBodycopyblacklight"/>
    <w:rsid w:val="006B7CBD"/>
    <w:rPr>
      <w:rFonts w:ascii="Fujitsu Sans Light" w:eastAsia="Calibri" w:hAnsi="Fujitsu Sans Light"/>
      <w:color w:val="000000"/>
      <w:sz w:val="18"/>
      <w:lang w:val="de-DE" w:eastAsia="en-US"/>
    </w:rPr>
  </w:style>
  <w:style w:type="character" w:styleId="FollowedHyperlink">
    <w:name w:val="FollowedHyperlink"/>
    <w:basedOn w:val="DefaultParagraphFont"/>
    <w:semiHidden/>
    <w:unhideWhenUsed/>
    <w:rsid w:val="0025694D"/>
    <w:rPr>
      <w:color w:val="800080" w:themeColor="followedHyperlink"/>
      <w:u w:val="single"/>
    </w:rPr>
  </w:style>
  <w:style w:type="paragraph" w:styleId="NoSpacing">
    <w:name w:val="No Spacing"/>
    <w:uiPriority w:val="1"/>
    <w:qFormat/>
    <w:rsid w:val="00C06B1A"/>
    <w:pPr>
      <w:adjustRightInd w:val="0"/>
      <w:snapToGrid w:val="0"/>
    </w:pPr>
    <w:rPr>
      <w:rFonts w:ascii="Fujitsu Infinity Pro" w:eastAsia="MS PGothic" w:hAnsi="Fujitsu Infinity Pro" w:cs="Arial"/>
      <w:bCs/>
      <w:snapToGrid w:val="0"/>
      <w:kern w:val="2"/>
      <w:position w:val="2"/>
      <w:sz w:val="22"/>
      <w:szCs w:val="24"/>
      <w:lang w:val="en-US" w:eastAsia="ja-JP"/>
    </w:rPr>
  </w:style>
  <w:style w:type="character" w:styleId="UnresolvedMention">
    <w:name w:val="Unresolved Mention"/>
    <w:basedOn w:val="DefaultParagraphFont"/>
    <w:uiPriority w:val="99"/>
    <w:semiHidden/>
    <w:unhideWhenUsed/>
    <w:rsid w:val="00290F8E"/>
    <w:rPr>
      <w:color w:val="605E5C"/>
      <w:shd w:val="clear" w:color="auto" w:fill="E1DFDD"/>
    </w:rPr>
  </w:style>
  <w:style w:type="paragraph" w:customStyle="1" w:styleId="FJBullets-Level1">
    <w:name w:val="FJ Bullets - Level 1"/>
    <w:basedOn w:val="Normal"/>
    <w:link w:val="FJBullets-Level1Char"/>
    <w:qFormat/>
    <w:rsid w:val="00A413F9"/>
    <w:pPr>
      <w:numPr>
        <w:numId w:val="42"/>
      </w:numPr>
      <w:adjustRightInd/>
      <w:snapToGrid/>
      <w:spacing w:before="60" w:after="60"/>
      <w:ind w:left="527" w:hanging="170"/>
    </w:pPr>
    <w:rPr>
      <w:rFonts w:cs="Fujitsu Sans Light"/>
      <w:bCs w:val="0"/>
    </w:rPr>
  </w:style>
  <w:style w:type="character" w:customStyle="1" w:styleId="FJBullets-Level1Char">
    <w:name w:val="FJ Bullets - Level 1 Char"/>
    <w:link w:val="FJBullets-Level1"/>
    <w:rsid w:val="00A413F9"/>
    <w:rPr>
      <w:rFonts w:ascii="Fujitsu Infinity Pro" w:eastAsia="MS PGothic" w:hAnsi="Fujitsu Infinity Pro" w:cs="Fujitsu Sans Light"/>
      <w:snapToGrid w:val="0"/>
      <w:kern w:val="2"/>
      <w:position w:val="2"/>
      <w:sz w:val="22"/>
      <w:szCs w:val="24"/>
      <w:lang w:val="en-US" w:eastAsia="ja-JP"/>
    </w:rPr>
  </w:style>
  <w:style w:type="character" w:styleId="CommentReference">
    <w:name w:val="annotation reference"/>
    <w:basedOn w:val="DefaultParagraphFont"/>
    <w:semiHidden/>
    <w:unhideWhenUsed/>
    <w:rsid w:val="00697E19"/>
    <w:rPr>
      <w:sz w:val="16"/>
      <w:szCs w:val="16"/>
    </w:rPr>
  </w:style>
  <w:style w:type="paragraph" w:styleId="CommentText">
    <w:name w:val="annotation text"/>
    <w:basedOn w:val="Normal"/>
    <w:link w:val="CommentTextChar"/>
    <w:semiHidden/>
    <w:unhideWhenUsed/>
    <w:rsid w:val="00697E19"/>
    <w:rPr>
      <w:sz w:val="20"/>
      <w:szCs w:val="20"/>
    </w:rPr>
  </w:style>
  <w:style w:type="character" w:customStyle="1" w:styleId="CommentTextChar">
    <w:name w:val="Comment Text Char"/>
    <w:basedOn w:val="DefaultParagraphFont"/>
    <w:link w:val="CommentText"/>
    <w:semiHidden/>
    <w:rsid w:val="00697E19"/>
    <w:rPr>
      <w:rFonts w:ascii="Fujitsu Infinity Pro" w:eastAsia="MS PGothic" w:hAnsi="Fujitsu Infinity Pro" w:cs="Arial"/>
      <w:bCs/>
      <w:snapToGrid w:val="0"/>
      <w:kern w:val="2"/>
      <w:position w:val="2"/>
      <w:lang w:val="en-US" w:eastAsia="ja-JP"/>
    </w:rPr>
  </w:style>
  <w:style w:type="paragraph" w:styleId="CommentSubject">
    <w:name w:val="annotation subject"/>
    <w:basedOn w:val="CommentText"/>
    <w:next w:val="CommentText"/>
    <w:link w:val="CommentSubjectChar"/>
    <w:semiHidden/>
    <w:unhideWhenUsed/>
    <w:rsid w:val="00697E19"/>
    <w:rPr>
      <w:b/>
    </w:rPr>
  </w:style>
  <w:style w:type="character" w:customStyle="1" w:styleId="CommentSubjectChar">
    <w:name w:val="Comment Subject Char"/>
    <w:basedOn w:val="CommentTextChar"/>
    <w:link w:val="CommentSubject"/>
    <w:semiHidden/>
    <w:rsid w:val="00697E19"/>
    <w:rPr>
      <w:rFonts w:ascii="Fujitsu Infinity Pro" w:eastAsia="MS PGothic" w:hAnsi="Fujitsu Infinity Pro" w:cs="Arial"/>
      <w:b/>
      <w:bCs/>
      <w:snapToGrid w:val="0"/>
      <w:kern w:val="2"/>
      <w:position w:val="2"/>
      <w:lang w:val="en-US" w:eastAsia="ja-JP"/>
    </w:rPr>
  </w:style>
  <w:style w:type="paragraph" w:styleId="Caption">
    <w:name w:val="caption"/>
    <w:basedOn w:val="Normal"/>
    <w:next w:val="Normal"/>
    <w:unhideWhenUsed/>
    <w:qFormat/>
    <w:rsid w:val="0042446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71521">
      <w:bodyDiv w:val="1"/>
      <w:marLeft w:val="0"/>
      <w:marRight w:val="0"/>
      <w:marTop w:val="0"/>
      <w:marBottom w:val="0"/>
      <w:divBdr>
        <w:top w:val="none" w:sz="0" w:space="0" w:color="auto"/>
        <w:left w:val="none" w:sz="0" w:space="0" w:color="auto"/>
        <w:bottom w:val="none" w:sz="0" w:space="0" w:color="auto"/>
        <w:right w:val="none" w:sz="0" w:space="0" w:color="auto"/>
      </w:divBdr>
    </w:div>
    <w:div w:id="586498555">
      <w:bodyDiv w:val="1"/>
      <w:marLeft w:val="0"/>
      <w:marRight w:val="0"/>
      <w:marTop w:val="0"/>
      <w:marBottom w:val="0"/>
      <w:divBdr>
        <w:top w:val="none" w:sz="0" w:space="0" w:color="auto"/>
        <w:left w:val="none" w:sz="0" w:space="0" w:color="auto"/>
        <w:bottom w:val="none" w:sz="0" w:space="0" w:color="auto"/>
        <w:right w:val="none" w:sz="0" w:space="0" w:color="auto"/>
      </w:divBdr>
    </w:div>
    <w:div w:id="909268178">
      <w:bodyDiv w:val="1"/>
      <w:marLeft w:val="0"/>
      <w:marRight w:val="0"/>
      <w:marTop w:val="0"/>
      <w:marBottom w:val="0"/>
      <w:divBdr>
        <w:top w:val="none" w:sz="0" w:space="0" w:color="auto"/>
        <w:left w:val="none" w:sz="0" w:space="0" w:color="auto"/>
        <w:bottom w:val="none" w:sz="0" w:space="0" w:color="auto"/>
        <w:right w:val="none" w:sz="0" w:space="0" w:color="auto"/>
      </w:divBdr>
    </w:div>
    <w:div w:id="931397707">
      <w:bodyDiv w:val="1"/>
      <w:marLeft w:val="0"/>
      <w:marRight w:val="0"/>
      <w:marTop w:val="0"/>
      <w:marBottom w:val="0"/>
      <w:divBdr>
        <w:top w:val="none" w:sz="0" w:space="0" w:color="auto"/>
        <w:left w:val="none" w:sz="0" w:space="0" w:color="auto"/>
        <w:bottom w:val="none" w:sz="0" w:space="0" w:color="auto"/>
        <w:right w:val="none" w:sz="0" w:space="0" w:color="auto"/>
      </w:divBdr>
    </w:div>
    <w:div w:id="1092435317">
      <w:bodyDiv w:val="1"/>
      <w:marLeft w:val="0"/>
      <w:marRight w:val="0"/>
      <w:marTop w:val="0"/>
      <w:marBottom w:val="0"/>
      <w:divBdr>
        <w:top w:val="none" w:sz="0" w:space="0" w:color="auto"/>
        <w:left w:val="none" w:sz="0" w:space="0" w:color="auto"/>
        <w:bottom w:val="none" w:sz="0" w:space="0" w:color="auto"/>
        <w:right w:val="none" w:sz="0" w:space="0" w:color="auto"/>
      </w:divBdr>
    </w:div>
    <w:div w:id="1152872602">
      <w:bodyDiv w:val="1"/>
      <w:marLeft w:val="0"/>
      <w:marRight w:val="0"/>
      <w:marTop w:val="0"/>
      <w:marBottom w:val="0"/>
      <w:divBdr>
        <w:top w:val="none" w:sz="0" w:space="0" w:color="auto"/>
        <w:left w:val="none" w:sz="0" w:space="0" w:color="auto"/>
        <w:bottom w:val="none" w:sz="0" w:space="0" w:color="auto"/>
        <w:right w:val="none" w:sz="0" w:space="0" w:color="auto"/>
      </w:divBdr>
    </w:div>
    <w:div w:id="1601835830">
      <w:bodyDiv w:val="1"/>
      <w:marLeft w:val="0"/>
      <w:marRight w:val="0"/>
      <w:marTop w:val="0"/>
      <w:marBottom w:val="0"/>
      <w:divBdr>
        <w:top w:val="none" w:sz="0" w:space="0" w:color="auto"/>
        <w:left w:val="none" w:sz="0" w:space="0" w:color="auto"/>
        <w:bottom w:val="none" w:sz="0" w:space="0" w:color="auto"/>
        <w:right w:val="none" w:sz="0" w:space="0" w:color="auto"/>
      </w:divBdr>
    </w:div>
    <w:div w:id="2020542435">
      <w:bodyDiv w:val="1"/>
      <w:marLeft w:val="0"/>
      <w:marRight w:val="0"/>
      <w:marTop w:val="0"/>
      <w:marBottom w:val="0"/>
      <w:divBdr>
        <w:top w:val="none" w:sz="0" w:space="0" w:color="auto"/>
        <w:left w:val="none" w:sz="0" w:space="0" w:color="auto"/>
        <w:bottom w:val="none" w:sz="0" w:space="0" w:color="auto"/>
        <w:right w:val="none" w:sz="0" w:space="0" w:color="auto"/>
      </w:divBdr>
    </w:div>
    <w:div w:id="21056078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www.fujitsu.com/primeflex" TargetMode="External"/><Relationship Id="rId21" Type="http://schemas.openxmlformats.org/officeDocument/2006/relationships/hyperlink" Target="https://www.fujitsu.com/global/products/computing/servers/primergy/" TargetMode="External"/><Relationship Id="rId34" Type="http://schemas.openxmlformats.org/officeDocument/2006/relationships/image" Target="media/image16.png"/><Relationship Id="rId42" Type="http://schemas.openxmlformats.org/officeDocument/2006/relationships/hyperlink" Target="http://www.fujitsu.com/dataprotec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veeam.com/wp-veeam-sap-hana-availability-guide-v19.html?ad=in-text-link" TargetMode="External"/><Relationship Id="rId37" Type="http://schemas.openxmlformats.org/officeDocument/2006/relationships/hyperlink" Target="http://www.veeam.com" TargetMode="External"/><Relationship Id="rId40" Type="http://schemas.openxmlformats.org/officeDocument/2006/relationships/hyperlink" Target="http://docs.ts.fujitsu.com/dl.aspx?id=25bcfc88-0c8e-45e8-b3bf-d302292d4fdd"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veeam.com/veeam_backup_SAP_HANA_solution_brief_ds.pdf"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fujitsu.com/global/products/computing/storage/all-flash-hybrid.html" TargetMode="External"/><Relationship Id="rId27" Type="http://schemas.openxmlformats.org/officeDocument/2006/relationships/hyperlink" Target="http://docs.ts.fujitsu.com/dl.aspx?id=241ef418-7d07-4d7a-bbe4-9f6773f0ea68" TargetMode="External"/><Relationship Id="rId30" Type="http://schemas.openxmlformats.org/officeDocument/2006/relationships/hyperlink" Target="https://www.veeam.com/backup-sap-hana-plugin.html?ad=menu-products" TargetMode="External"/><Relationship Id="rId35" Type="http://schemas.openxmlformats.org/officeDocument/2006/relationships/hyperlink" Target="http://www.fujitsu.com/dataprotection" TargetMode="External"/><Relationship Id="rId43" Type="http://schemas.openxmlformats.org/officeDocument/2006/relationships/hyperlink" Target="http://www.fujitsu.com/dataprotec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fujitsu.com/veeam"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fujitsu.com/global/cont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Flyer-Whitepaper-Blue-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580D3600F40740A673D3015D2A5E4A" ma:contentTypeVersion="14" ma:contentTypeDescription="Create a new document." ma:contentTypeScope="" ma:versionID="b83d6dff9b03e51406ce0693a65ee03c">
  <xsd:schema xmlns:xsd="http://www.w3.org/2001/XMLSchema" xmlns:xs="http://www.w3.org/2001/XMLSchema" xmlns:p="http://schemas.microsoft.com/office/2006/metadata/properties" xmlns:ns3="2db42bf0-3f3f-4a06-9b1d-b16d8ecbfe14" xmlns:ns4="8009f88e-000b-46dc-97ee-bc793f1e6777" targetNamespace="http://schemas.microsoft.com/office/2006/metadata/properties" ma:root="true" ma:fieldsID="a059d29413d706fd75d5f1deaf22a88e" ns3:_="" ns4:_="">
    <xsd:import namespace="2db42bf0-3f3f-4a06-9b1d-b16d8ecbfe14"/>
    <xsd:import namespace="8009f88e-000b-46dc-97ee-bc793f1e67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42bf0-3f3f-4a06-9b1d-b16d8ecbfe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9f88e-000b-46dc-97ee-bc793f1e67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53C7B9-A621-45A5-AEEC-4964CA73D724}">
  <ds:schemaRefs>
    <ds:schemaRef ds:uri="http://schemas.microsoft.com/sharepoint/v3/contenttype/forms"/>
  </ds:schemaRefs>
</ds:datastoreItem>
</file>

<file path=customXml/itemProps2.xml><?xml version="1.0" encoding="utf-8"?>
<ds:datastoreItem xmlns:ds="http://schemas.openxmlformats.org/officeDocument/2006/customXml" ds:itemID="{4478923B-6C10-4247-978E-F937F98F0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42bf0-3f3f-4a06-9b1d-b16d8ecbfe14"/>
    <ds:schemaRef ds:uri="8009f88e-000b-46dc-97ee-bc793f1e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AEE541-0544-4A79-AF76-DCB9CE6289EF}">
  <ds:schemaRefs>
    <ds:schemaRef ds:uri="http://schemas.openxmlformats.org/officeDocument/2006/bibliography"/>
  </ds:schemaRefs>
</ds:datastoreItem>
</file>

<file path=customXml/itemProps4.xml><?xml version="1.0" encoding="utf-8"?>
<ds:datastoreItem xmlns:ds="http://schemas.openxmlformats.org/officeDocument/2006/customXml" ds:itemID="{92CBCDAB-7DAC-430E-9943-162FC01361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Flyer-Whitepaper-Blue-A4.dotx</Template>
  <TotalTime>0</TotalTime>
  <Pages>12</Pages>
  <Words>3895</Words>
  <Characters>22205</Characters>
  <Application>Microsoft Office Word</Application>
  <DocSecurity>0</DocSecurity>
  <Lines>185</Lines>
  <Paragraphs>52</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Technical Whitepaper: Data protection for PRIMEFLEX with Veeam</vt:lpstr>
      <vt:lpstr>Technical Whitepaper: Data protection for PRIMEFLEX with Veeam</vt:lpstr>
      <vt:lpstr/>
      <vt:lpstr>Introduction</vt:lpstr>
      <vt:lpstr>What you need to know about today and tomorrow</vt:lpstr>
      <vt:lpstr>Veeam as the innovator of data protection software and new usage scenarios</vt:lpstr>
      <vt:lpstr>What makes Veeam a perfect fit for converged infrastructure solutions?</vt:lpstr>
      <vt:lpstr>What makes Veeam a perfect fit for hyper-converged infrastructure solutions?</vt:lpstr>
      <vt:lpstr>Perfect combination: Nutanix Mine with Veeam on Fujitsu XF systems</vt:lpstr>
      <vt:lpstr>What makes Veeam a perfect fit for SAP solutions?</vt:lpstr>
      <vt:lpstr>What different appliances are available for PRIMEFLEX environments?</vt:lpstr>
      <vt:lpstr>Reflection on opening statements and summary</vt:lpstr>
      <vt:lpstr>Link Collection with further information</vt:lpstr>
    </vt:vector>
  </TitlesOfParts>
  <Company/>
  <LinksUpToDate>false</LinksUpToDate>
  <CharactersWithSpaces>26048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Whitepaper: Data protection for PRIMEFLEX with Veeam</dc:title>
  <dc:creator/>
  <cp:lastModifiedBy/>
  <cp:revision>1</cp:revision>
  <dcterms:created xsi:type="dcterms:W3CDTF">2022-10-12T09:35:00Z</dcterms:created>
  <dcterms:modified xsi:type="dcterms:W3CDTF">2022-10-12T09:35:00Z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0x0101000A580D3600F40740A673D3015D2A5E4A</vt:lpwstr>
  </property>
</Properties>
</file>